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08F0" w:rsidRDefault="00A108F0" w:rsidP="00A108F0">
      <w:pPr>
        <w:pStyle w:val="CH"/>
      </w:pPr>
      <w:bookmarkStart w:id="0" w:name="historyclause"/>
      <w:r>
        <w:t>3GPP TSG-RAN WG2 Meeting #12</w:t>
      </w:r>
      <w:r>
        <w:rPr>
          <w:lang w:val="en-US" w:eastAsia="zh-CN"/>
        </w:rPr>
        <w:t>9</w:t>
      </w:r>
      <w:r w:rsidR="00B51379">
        <w:rPr>
          <w:rFonts w:hint="eastAsia"/>
          <w:lang w:val="en-US" w:eastAsia="zh-CN"/>
        </w:rPr>
        <w:t>bis</w:t>
      </w:r>
      <w:r w:rsidR="00A61B9E">
        <w:tab/>
        <w:t xml:space="preserve">           </w:t>
      </w:r>
      <w:bookmarkStart w:id="1" w:name="_GoBack"/>
      <w:bookmarkEnd w:id="1"/>
      <w:r w:rsidR="00C77267" w:rsidRPr="00C77267">
        <w:t>R2-2502242</w:t>
      </w:r>
    </w:p>
    <w:p w:rsidR="00CF2835" w:rsidRDefault="00B51379" w:rsidP="00A108F0">
      <w:pPr>
        <w:pStyle w:val="CH"/>
        <w:tabs>
          <w:tab w:val="clear" w:pos="7920"/>
        </w:tabs>
        <w:rPr>
          <w:b w:val="0"/>
        </w:rPr>
      </w:pPr>
      <w:r>
        <w:t>Wuhan, China</w:t>
      </w:r>
      <w:r w:rsidR="00A108F0">
        <w:t>,</w:t>
      </w:r>
      <w:r w:rsidR="00A108F0">
        <w:rPr>
          <w:lang w:eastAsia="zh-CN"/>
        </w:rPr>
        <w:t xml:space="preserve"> </w:t>
      </w:r>
      <w:r w:rsidR="00872E71">
        <w:t xml:space="preserve">April </w:t>
      </w:r>
      <w:r w:rsidR="00A108F0">
        <w:t>7</w:t>
      </w:r>
      <w:r w:rsidR="00A108F0" w:rsidRPr="00A66399">
        <w:rPr>
          <w:vertAlign w:val="superscript"/>
        </w:rPr>
        <w:t>th</w:t>
      </w:r>
      <w:r w:rsidR="00872E71">
        <w:t xml:space="preserve"> – April 1</w:t>
      </w:r>
      <w:r w:rsidR="00A108F0">
        <w:t>1</w:t>
      </w:r>
      <w:r w:rsidR="00A108F0">
        <w:rPr>
          <w:vertAlign w:val="superscript"/>
        </w:rPr>
        <w:t>t</w:t>
      </w:r>
      <w:r w:rsidR="00872E71">
        <w:rPr>
          <w:vertAlign w:val="superscript"/>
        </w:rPr>
        <w:t>h</w:t>
      </w:r>
      <w:r w:rsidR="00A108F0">
        <w:t>, 202</w:t>
      </w:r>
      <w:r w:rsidR="00A108F0">
        <w:rPr>
          <w:lang w:eastAsia="zh-CN"/>
        </w:rPr>
        <w:t>5</w:t>
      </w:r>
      <w:r w:rsidR="00190991">
        <w:tab/>
      </w:r>
    </w:p>
    <w:p w:rsidR="00CF2835" w:rsidRPr="003A073D"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003709FB" w:rsidRPr="003709FB">
        <w:t>8.10.4</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DF43D9" w:rsidRPr="00DF43D9">
        <w:t>SON of intra-NTN mobility</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555CA9" w:rsidRDefault="00D656EC" w:rsidP="00EC4852">
      <w:pPr>
        <w:spacing w:beforeLines="100" w:before="240"/>
        <w:rPr>
          <w:lang w:val="en-US" w:eastAsia="zh-CN"/>
        </w:rPr>
      </w:pPr>
      <w:r>
        <w:rPr>
          <w:lang w:val="en-US" w:eastAsia="zh-CN"/>
        </w:rPr>
        <w:t>RAN3 have made some progress of SON/MDT for i</w:t>
      </w:r>
      <w:r w:rsidR="00365A38">
        <w:rPr>
          <w:lang w:val="en-US" w:eastAsia="zh-CN"/>
        </w:rPr>
        <w:t>ntra-NTN mobility scenarios</w:t>
      </w:r>
      <w:r>
        <w:rPr>
          <w:lang w:val="en-US" w:eastAsia="zh-CN"/>
        </w:rPr>
        <w:t>. In this paper, we mainly discuss MRO for intra-NTN mobility aspects.</w:t>
      </w:r>
    </w:p>
    <w:p w:rsidR="00CF2835" w:rsidRDefault="004B1061">
      <w:pPr>
        <w:pStyle w:val="1"/>
        <w:numPr>
          <w:ilvl w:val="0"/>
          <w:numId w:val="4"/>
        </w:numPr>
      </w:pPr>
      <w:r>
        <w:t>Discussion</w:t>
      </w:r>
      <w:r>
        <w:rPr>
          <w:rFonts w:hint="eastAsia"/>
          <w:lang w:val="en-US" w:eastAsia="zh-CN"/>
        </w:rPr>
        <w:t xml:space="preserve"> </w:t>
      </w:r>
    </w:p>
    <w:p w:rsidR="00733C24" w:rsidRDefault="0068720A" w:rsidP="00DC631C">
      <w:pPr>
        <w:spacing w:beforeLines="100" w:before="240"/>
        <w:rPr>
          <w:lang w:val="en-US" w:eastAsia="zh-CN"/>
        </w:rPr>
      </w:pPr>
      <w:r>
        <w:rPr>
          <w:rFonts w:hint="eastAsia"/>
          <w:lang w:val="en-US" w:eastAsia="zh-CN"/>
        </w:rPr>
        <w:t>R</w:t>
      </w:r>
      <w:r>
        <w:rPr>
          <w:lang w:val="en-US" w:eastAsia="zh-CN"/>
        </w:rPr>
        <w:t xml:space="preserve">AN3 have the following </w:t>
      </w:r>
      <w:r w:rsidR="00B71A81">
        <w:rPr>
          <w:lang w:val="en-US" w:eastAsia="zh-CN"/>
        </w:rPr>
        <w:t>agreements related to</w:t>
      </w:r>
      <w:r>
        <w:rPr>
          <w:lang w:val="en-US" w:eastAsia="zh-CN"/>
        </w:rPr>
        <w:t xml:space="preserve"> MRO for intra-NTN mobility:</w:t>
      </w:r>
    </w:p>
    <w:tbl>
      <w:tblPr>
        <w:tblStyle w:val="af1"/>
        <w:tblW w:w="0" w:type="auto"/>
        <w:tblLook w:val="04A0" w:firstRow="1" w:lastRow="0" w:firstColumn="1" w:lastColumn="0" w:noHBand="0" w:noVBand="1"/>
      </w:tblPr>
      <w:tblGrid>
        <w:gridCol w:w="9631"/>
      </w:tblGrid>
      <w:tr w:rsidR="001F3D5A" w:rsidTr="001F3D5A">
        <w:tc>
          <w:tcPr>
            <w:tcW w:w="0" w:type="auto"/>
          </w:tcPr>
          <w:p w:rsidR="00924D2C" w:rsidRDefault="00924D2C" w:rsidP="00924D2C">
            <w:pPr>
              <w:pStyle w:val="21"/>
              <w:rPr>
                <w:b/>
                <w:bCs/>
                <w:iCs/>
                <w:sz w:val="16"/>
                <w:szCs w:val="16"/>
                <w:lang w:eastAsia="en-US"/>
              </w:rPr>
            </w:pPr>
            <w:r>
              <w:rPr>
                <w:b/>
                <w:bCs/>
                <w:iCs/>
                <w:sz w:val="16"/>
                <w:szCs w:val="16"/>
                <w:lang w:eastAsia="en-US"/>
              </w:rPr>
              <w:t>RAN3#124:</w:t>
            </w:r>
          </w:p>
          <w:p w:rsidR="001F3D5A" w:rsidRDefault="001F3D5A" w:rsidP="00E0309B">
            <w:pPr>
              <w:pStyle w:val="af4"/>
              <w:spacing w:beforeLines="50" w:before="120"/>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MRO for intra-NTN mobility shall consider the following trigger conditions:</w:t>
            </w:r>
          </w:p>
          <w:p w:rsidR="001F3D5A" w:rsidRDefault="001F3D5A" w:rsidP="008C2908">
            <w:pPr>
              <w:pStyle w:val="af4"/>
              <w:numPr>
                <w:ilvl w:val="0"/>
                <w:numId w:val="13"/>
              </w:numPr>
              <w:overflowPunct w:val="0"/>
              <w:autoSpaceDE w:val="0"/>
              <w:autoSpaceDN w:val="0"/>
              <w:adjustRightInd w:val="0"/>
              <w:spacing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M</w:t>
            </w:r>
            <w:r>
              <w:rPr>
                <w:rFonts w:ascii="Calibri" w:eastAsia="MS Mincho" w:hAnsi="Calibri" w:cs="Calibri" w:hint="eastAsia"/>
                <w:i/>
                <w:iCs/>
                <w:color w:val="00B050"/>
                <w:kern w:val="2"/>
                <w:sz w:val="16"/>
                <w:szCs w:val="16"/>
              </w:rPr>
              <w:t xml:space="preserve">easurement-based </w:t>
            </w:r>
            <w:r>
              <w:rPr>
                <w:rFonts w:ascii="Calibri" w:eastAsia="MS Mincho" w:hAnsi="Calibri" w:cs="Calibri"/>
                <w:i/>
                <w:iCs/>
                <w:color w:val="00B050"/>
                <w:kern w:val="2"/>
                <w:sz w:val="16"/>
                <w:szCs w:val="16"/>
              </w:rPr>
              <w:t xml:space="preserve">trigger condition; </w:t>
            </w:r>
          </w:p>
          <w:p w:rsidR="001F3D5A" w:rsidRDefault="001F3D5A" w:rsidP="0068720A">
            <w:pPr>
              <w:pStyle w:val="af4"/>
              <w:numPr>
                <w:ilvl w:val="0"/>
                <w:numId w:val="13"/>
              </w:numPr>
              <w:overflowPunct w:val="0"/>
              <w:autoSpaceDE w:val="0"/>
              <w:autoSpaceDN w:val="0"/>
              <w:adjustRightInd w:val="0"/>
              <w:spacing w:before="100" w:beforeAutospacing="1"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 time-based trigger condition;</w:t>
            </w:r>
            <w:r>
              <w:rPr>
                <w:rFonts w:ascii="Calibri" w:eastAsia="MS Mincho" w:hAnsi="Calibri" w:cs="Calibri" w:hint="eastAsia"/>
                <w:i/>
                <w:iCs/>
                <w:color w:val="00B050"/>
                <w:kern w:val="2"/>
                <w:sz w:val="16"/>
                <w:szCs w:val="16"/>
              </w:rPr>
              <w:t xml:space="preserve"> </w:t>
            </w:r>
          </w:p>
          <w:p w:rsidR="001F3D5A" w:rsidRDefault="001F3D5A" w:rsidP="0068720A">
            <w:pPr>
              <w:pStyle w:val="af4"/>
              <w:numPr>
                <w:ilvl w:val="0"/>
                <w:numId w:val="13"/>
              </w:numPr>
              <w:overflowPunct w:val="0"/>
              <w:autoSpaceDE w:val="0"/>
              <w:autoSpaceDN w:val="0"/>
              <w:adjustRightInd w:val="0"/>
              <w:spacing w:before="100" w:beforeAutospacing="1"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 location-based trigger condition;</w:t>
            </w:r>
            <w:r>
              <w:rPr>
                <w:rFonts w:ascii="Calibri" w:eastAsia="MS Mincho" w:hAnsi="Calibri" w:cs="Calibri" w:hint="eastAsia"/>
                <w:i/>
                <w:iCs/>
                <w:color w:val="00B050"/>
                <w:kern w:val="2"/>
                <w:sz w:val="16"/>
                <w:szCs w:val="16"/>
              </w:rPr>
              <w:t xml:space="preserve"> </w:t>
            </w:r>
          </w:p>
          <w:p w:rsidR="001F3D5A" w:rsidRDefault="001F3D5A" w:rsidP="0068720A">
            <w:pPr>
              <w:pStyle w:val="af4"/>
              <w:numPr>
                <w:ilvl w:val="0"/>
                <w:numId w:val="13"/>
              </w:numPr>
              <w:overflowPunct w:val="0"/>
              <w:autoSpaceDE w:val="0"/>
              <w:autoSpaceDN w:val="0"/>
              <w:adjustRightInd w:val="0"/>
              <w:spacing w:before="100" w:beforeAutospacing="1"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 time-based and M</w:t>
            </w:r>
            <w:r>
              <w:rPr>
                <w:rFonts w:ascii="Calibri" w:eastAsia="MS Mincho" w:hAnsi="Calibri" w:cs="Calibri" w:hint="eastAsia"/>
                <w:i/>
                <w:iCs/>
                <w:color w:val="00B050"/>
                <w:kern w:val="2"/>
                <w:sz w:val="16"/>
                <w:szCs w:val="16"/>
              </w:rPr>
              <w:t xml:space="preserve">easurement-based </w:t>
            </w:r>
            <w:r>
              <w:rPr>
                <w:rFonts w:ascii="Calibri" w:eastAsia="MS Mincho" w:hAnsi="Calibri" w:cs="Calibri"/>
                <w:i/>
                <w:iCs/>
                <w:color w:val="00B050"/>
                <w:kern w:val="2"/>
                <w:sz w:val="16"/>
                <w:szCs w:val="16"/>
              </w:rPr>
              <w:t>combined trigger condition;</w:t>
            </w:r>
          </w:p>
          <w:p w:rsidR="001F3D5A" w:rsidRDefault="001F3D5A" w:rsidP="0068720A">
            <w:pPr>
              <w:pStyle w:val="af4"/>
              <w:numPr>
                <w:ilvl w:val="0"/>
                <w:numId w:val="13"/>
              </w:numPr>
              <w:overflowPunct w:val="0"/>
              <w:autoSpaceDE w:val="0"/>
              <w:autoSpaceDN w:val="0"/>
              <w:adjustRightInd w:val="0"/>
              <w:spacing w:before="100" w:beforeAutospacing="1" w:after="0"/>
              <w:ind w:left="357" w:hanging="357"/>
              <w:contextualSpacing w:val="0"/>
              <w:textAlignment w:val="baseline"/>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 location-based and M</w:t>
            </w:r>
            <w:r>
              <w:rPr>
                <w:rFonts w:ascii="Calibri" w:eastAsia="MS Mincho" w:hAnsi="Calibri" w:cs="Calibri" w:hint="eastAsia"/>
                <w:i/>
                <w:iCs/>
                <w:color w:val="00B050"/>
                <w:kern w:val="2"/>
                <w:sz w:val="16"/>
                <w:szCs w:val="16"/>
              </w:rPr>
              <w:t>easurement-based</w:t>
            </w:r>
            <w:r>
              <w:rPr>
                <w:rFonts w:ascii="Calibri" w:eastAsia="MS Mincho" w:hAnsi="Calibri" w:cs="Calibri"/>
                <w:i/>
                <w:iCs/>
                <w:color w:val="00B050"/>
                <w:kern w:val="2"/>
                <w:sz w:val="16"/>
                <w:szCs w:val="16"/>
              </w:rPr>
              <w:t xml:space="preserve"> combined</w:t>
            </w:r>
            <w:r>
              <w:rPr>
                <w:rFonts w:ascii="Calibri" w:eastAsia="MS Mincho" w:hAnsi="Calibri" w:cs="Calibri" w:hint="eastAsia"/>
                <w:i/>
                <w:iCs/>
                <w:color w:val="00B050"/>
                <w:kern w:val="2"/>
                <w:sz w:val="16"/>
                <w:szCs w:val="16"/>
              </w:rPr>
              <w:t xml:space="preserve"> </w:t>
            </w:r>
            <w:r>
              <w:rPr>
                <w:rFonts w:ascii="Calibri" w:eastAsia="MS Mincho" w:hAnsi="Calibri" w:cs="Calibri"/>
                <w:i/>
                <w:iCs/>
                <w:color w:val="00B050"/>
                <w:kern w:val="2"/>
                <w:sz w:val="16"/>
                <w:szCs w:val="16"/>
              </w:rPr>
              <w:t>trigger condition;</w:t>
            </w:r>
          </w:p>
          <w:p w:rsidR="001F3D5A" w:rsidRDefault="001F3D5A" w:rsidP="001F3D5A">
            <w:pPr>
              <w:pStyle w:val="af4"/>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Do not consider MRO for feeder link switch.</w:t>
            </w:r>
          </w:p>
          <w:p w:rsidR="001F3D5A" w:rsidRDefault="001F3D5A" w:rsidP="001F3D5A">
            <w:pPr>
              <w:pStyle w:val="af4"/>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MRO for intra-NTN mobility shall consider both conditional and non-conditional intra-NTN handover.</w:t>
            </w:r>
          </w:p>
          <w:p w:rsidR="00924D2C" w:rsidRDefault="00924D2C" w:rsidP="00924D2C">
            <w:pPr>
              <w:pStyle w:val="21"/>
              <w:spacing w:afterLines="50" w:after="120"/>
              <w:rPr>
                <w:b/>
                <w:bCs/>
                <w:iCs/>
                <w:sz w:val="16"/>
                <w:szCs w:val="16"/>
                <w:lang w:eastAsia="en-US"/>
              </w:rPr>
            </w:pPr>
            <w:r>
              <w:rPr>
                <w:b/>
                <w:bCs/>
                <w:iCs/>
                <w:sz w:val="16"/>
                <w:szCs w:val="16"/>
                <w:lang w:eastAsia="en-US"/>
              </w:rPr>
              <w:t>RAN3#12</w:t>
            </w:r>
            <w:r>
              <w:rPr>
                <w:b/>
                <w:bCs/>
                <w:iCs/>
                <w:sz w:val="16"/>
                <w:szCs w:val="16"/>
              </w:rPr>
              <w:t>5</w:t>
            </w:r>
            <w:r>
              <w:rPr>
                <w:b/>
                <w:bCs/>
                <w:iCs/>
                <w:sz w:val="16"/>
                <w:szCs w:val="16"/>
                <w:lang w:eastAsia="en-US"/>
              </w:rPr>
              <w:t>:</w:t>
            </w:r>
          </w:p>
          <w:p w:rsidR="001F3D5A" w:rsidRDefault="001F3D5A" w:rsidP="001F3D5A">
            <w:pPr>
              <w:pStyle w:val="a7"/>
              <w:rPr>
                <w:rFonts w:ascii="Calibri" w:eastAsia="MS Mincho" w:hAnsi="Calibri" w:cs="Calibri"/>
                <w:i/>
                <w:iCs/>
                <w:color w:val="00B050"/>
                <w:kern w:val="2"/>
                <w:sz w:val="16"/>
                <w:szCs w:val="16"/>
                <w:u w:val="single"/>
                <w:lang w:val="en-US"/>
              </w:rPr>
            </w:pPr>
            <w:r>
              <w:rPr>
                <w:rFonts w:ascii="Calibri" w:eastAsia="MS Mincho" w:hAnsi="Calibri" w:cs="Calibri" w:hint="eastAsia"/>
                <w:i/>
                <w:iCs/>
                <w:color w:val="00B050"/>
                <w:kern w:val="2"/>
                <w:sz w:val="16"/>
                <w:szCs w:val="16"/>
                <w:u w:val="single"/>
                <w:lang w:val="en-US"/>
              </w:rPr>
              <w:t>MRO for CHO with a time-based trigger condition:</w:t>
            </w:r>
          </w:p>
          <w:p w:rsidR="001F3D5A" w:rsidRDefault="001F3D5A" w:rsidP="001F3D5A">
            <w:pPr>
              <w:pStyle w:val="af4"/>
              <w:spacing w:after="0"/>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Case 1</w:t>
            </w:r>
            <w:r>
              <w:rPr>
                <w:rFonts w:ascii="Calibri" w:eastAsia="MS Mincho" w:hAnsi="Calibri" w:cs="Calibri" w:hint="eastAsia"/>
                <w:i/>
                <w:iCs/>
                <w:color w:val="00B050"/>
                <w:kern w:val="2"/>
                <w:sz w:val="16"/>
                <w:szCs w:val="16"/>
              </w:rPr>
              <w:t xml:space="preserve"> Too Late CHO Execution</w:t>
            </w:r>
            <w:r>
              <w:rPr>
                <w:rFonts w:ascii="Calibri" w:eastAsia="MS Mincho" w:hAnsi="Calibri" w:cs="Calibri"/>
                <w:i/>
                <w:iCs/>
                <w:color w:val="00B050"/>
                <w:kern w:val="2"/>
                <w:sz w:val="16"/>
                <w:szCs w:val="16"/>
              </w:rPr>
              <w:t xml:space="preserve">: RLF happens in the source cell before </w:t>
            </w:r>
            <w:r>
              <w:rPr>
                <w:rFonts w:ascii="Calibri" w:eastAsia="MS Mincho" w:hAnsi="Calibri" w:cs="Calibri" w:hint="eastAsia"/>
                <w:i/>
                <w:iCs/>
                <w:color w:val="00B050"/>
                <w:kern w:val="2"/>
                <w:sz w:val="16"/>
                <w:szCs w:val="16"/>
              </w:rPr>
              <w:t>UE executes CHO (before or after T1 threshold starts), and t</w:t>
            </w:r>
            <w:r>
              <w:rPr>
                <w:rFonts w:ascii="Calibri" w:eastAsia="MS Mincho" w:hAnsi="Calibri" w:cs="Calibri"/>
                <w:i/>
                <w:iCs/>
                <w:color w:val="00B050"/>
                <w:kern w:val="2"/>
                <w:sz w:val="16"/>
                <w:szCs w:val="16"/>
              </w:rPr>
              <w:t>he UE re-</w:t>
            </w:r>
            <w:r>
              <w:rPr>
                <w:rFonts w:ascii="Calibri" w:eastAsia="MS Mincho" w:hAnsi="Calibri" w:cs="Calibri" w:hint="eastAsia"/>
                <w:i/>
                <w:iCs/>
                <w:color w:val="00B050"/>
                <w:kern w:val="2"/>
                <w:sz w:val="16"/>
                <w:szCs w:val="16"/>
              </w:rPr>
              <w:t>connects</w:t>
            </w:r>
            <w:r>
              <w:rPr>
                <w:rFonts w:ascii="Calibri" w:eastAsia="MS Mincho" w:hAnsi="Calibri" w:cs="Calibri"/>
                <w:i/>
                <w:iCs/>
                <w:color w:val="00B050"/>
                <w:kern w:val="2"/>
                <w:sz w:val="16"/>
                <w:szCs w:val="16"/>
              </w:rPr>
              <w:t xml:space="preserve"> the cell</w:t>
            </w:r>
            <w:r>
              <w:rPr>
                <w:rFonts w:ascii="Calibri" w:eastAsia="MS Mincho" w:hAnsi="Calibri" w:cs="Calibri" w:hint="eastAsia"/>
                <w:i/>
                <w:iCs/>
                <w:color w:val="00B050"/>
                <w:kern w:val="2"/>
                <w:sz w:val="16"/>
                <w:szCs w:val="16"/>
              </w:rPr>
              <w:t xml:space="preserve"> other than the source cell</w:t>
            </w:r>
            <w:r>
              <w:rPr>
                <w:rFonts w:ascii="Calibri" w:eastAsia="MS Mincho" w:hAnsi="Calibri" w:cs="Calibri"/>
                <w:i/>
                <w:iCs/>
                <w:color w:val="00B050"/>
                <w:kern w:val="2"/>
                <w:sz w:val="16"/>
                <w:szCs w:val="16"/>
              </w:rPr>
              <w:t>.</w:t>
            </w:r>
          </w:p>
          <w:p w:rsidR="001F3D5A" w:rsidRDefault="001F3D5A" w:rsidP="001F3D5A">
            <w:pPr>
              <w:pStyle w:val="af4"/>
              <w:spacing w:after="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D</w:t>
            </w:r>
            <w:r>
              <w:rPr>
                <w:rFonts w:ascii="Calibri" w:eastAsia="MS Mincho" w:hAnsi="Calibri" w:cs="Calibri" w:hint="eastAsia"/>
                <w:i/>
                <w:iCs/>
                <w:color w:val="00B050"/>
                <w:kern w:val="2"/>
                <w:sz w:val="16"/>
                <w:szCs w:val="16"/>
              </w:rPr>
              <w:t>istinguish if the RLF happens before or after T1</w:t>
            </w:r>
          </w:p>
          <w:p w:rsidR="001F3D5A" w:rsidRDefault="001F3D5A" w:rsidP="00551D8C">
            <w:pPr>
              <w:pStyle w:val="af4"/>
              <w:spacing w:afterLines="50" w:after="120"/>
              <w:ind w:left="0"/>
              <w:rPr>
                <w:rFonts w:ascii="Calibri" w:eastAsia="等线" w:hAnsi="Calibri" w:cs="Calibri"/>
                <w:i/>
                <w:iCs/>
                <w:color w:val="00B050"/>
                <w:kern w:val="2"/>
                <w:sz w:val="16"/>
                <w:szCs w:val="16"/>
              </w:rPr>
            </w:pPr>
            <w:r>
              <w:rPr>
                <w:rFonts w:ascii="Calibri" w:eastAsia="MS Mincho" w:hAnsi="Calibri" w:cs="Calibri"/>
                <w:i/>
                <w:iCs/>
                <w:color w:val="00B050"/>
                <w:kern w:val="2"/>
                <w:sz w:val="16"/>
                <w:szCs w:val="16"/>
              </w:rPr>
              <w:t>Case 2</w:t>
            </w:r>
            <w:r>
              <w:rPr>
                <w:rFonts w:ascii="Calibri" w:eastAsia="MS Mincho" w:hAnsi="Calibri" w:cs="Calibri" w:hint="eastAsia"/>
                <w:i/>
                <w:iCs/>
                <w:color w:val="00B050"/>
                <w:kern w:val="2"/>
                <w:sz w:val="16"/>
                <w:szCs w:val="16"/>
              </w:rPr>
              <w:t xml:space="preserve"> Too Early CHO Execution/CHO Execution to Wrong Cell</w:t>
            </w:r>
            <w:r>
              <w:rPr>
                <w:rFonts w:ascii="Calibri" w:eastAsia="MS Mincho" w:hAnsi="Calibri" w:cs="Calibri"/>
                <w:i/>
                <w:iCs/>
                <w:color w:val="00B050"/>
                <w:kern w:val="2"/>
                <w:sz w:val="16"/>
                <w:szCs w:val="16"/>
              </w:rPr>
              <w:t>: HOF happens</w:t>
            </w:r>
            <w:r>
              <w:rPr>
                <w:rFonts w:ascii="Calibri" w:eastAsia="MS Mincho" w:hAnsi="Calibri" w:cs="Calibri" w:hint="eastAsia"/>
                <w:i/>
                <w:iCs/>
                <w:color w:val="00B050"/>
                <w:kern w:val="2"/>
                <w:sz w:val="16"/>
                <w:szCs w:val="16"/>
              </w:rPr>
              <w:t xml:space="preserve"> or RLF happens shortly after successful CHO, and th</w:t>
            </w:r>
            <w:r>
              <w:rPr>
                <w:rFonts w:ascii="Calibri" w:eastAsia="MS Mincho" w:hAnsi="Calibri" w:cs="Calibri"/>
                <w:i/>
                <w:iCs/>
                <w:color w:val="00B050"/>
                <w:kern w:val="2"/>
                <w:sz w:val="16"/>
                <w:szCs w:val="16"/>
              </w:rPr>
              <w:t>e UE re-</w:t>
            </w:r>
            <w:r>
              <w:rPr>
                <w:rFonts w:ascii="Calibri" w:eastAsia="MS Mincho" w:hAnsi="Calibri" w:cs="Calibri" w:hint="eastAsia"/>
                <w:i/>
                <w:iCs/>
                <w:color w:val="00B050"/>
                <w:kern w:val="2"/>
                <w:sz w:val="16"/>
                <w:szCs w:val="16"/>
              </w:rPr>
              <w:t>connects</w:t>
            </w:r>
            <w:r>
              <w:rPr>
                <w:rFonts w:ascii="Calibri" w:eastAsia="MS Mincho" w:hAnsi="Calibri" w:cs="Calibri"/>
                <w:i/>
                <w:iCs/>
                <w:color w:val="00B050"/>
                <w:kern w:val="2"/>
                <w:sz w:val="16"/>
                <w:szCs w:val="16"/>
              </w:rPr>
              <w:t xml:space="preserve"> in the source cell or a third cell.</w:t>
            </w:r>
          </w:p>
          <w:p w:rsidR="00924D2C" w:rsidRPr="00924D2C" w:rsidRDefault="00924D2C" w:rsidP="00924D2C">
            <w:pPr>
              <w:pStyle w:val="21"/>
              <w:spacing w:afterLines="50" w:after="120"/>
              <w:rPr>
                <w:b/>
                <w:bCs/>
                <w:iCs/>
                <w:sz w:val="16"/>
                <w:szCs w:val="16"/>
                <w:lang w:eastAsia="en-US"/>
              </w:rPr>
            </w:pPr>
            <w:r>
              <w:rPr>
                <w:b/>
                <w:bCs/>
                <w:iCs/>
                <w:sz w:val="16"/>
                <w:szCs w:val="16"/>
                <w:lang w:eastAsia="en-US"/>
              </w:rPr>
              <w:t>RAN3#12</w:t>
            </w:r>
            <w:r>
              <w:rPr>
                <w:b/>
                <w:bCs/>
                <w:iCs/>
                <w:sz w:val="16"/>
                <w:szCs w:val="16"/>
              </w:rPr>
              <w:t>5bis</w:t>
            </w:r>
            <w:r>
              <w:rPr>
                <w:b/>
                <w:bCs/>
                <w:iCs/>
                <w:sz w:val="16"/>
                <w:szCs w:val="16"/>
                <w:lang w:eastAsia="en-US"/>
              </w:rPr>
              <w:t>:</w:t>
            </w:r>
          </w:p>
          <w:p w:rsidR="001F3D5A" w:rsidRDefault="001F3D5A" w:rsidP="001F3D5A">
            <w:pPr>
              <w:spacing w:after="0"/>
              <w:rPr>
                <w:rFonts w:ascii="Calibri" w:eastAsia="MS Mincho" w:hAnsi="Calibri" w:cs="Calibri"/>
                <w:i/>
                <w:iCs/>
                <w:color w:val="00B050"/>
                <w:kern w:val="2"/>
                <w:sz w:val="16"/>
                <w:szCs w:val="16"/>
                <w:u w:val="single"/>
              </w:rPr>
            </w:pPr>
            <w:r>
              <w:rPr>
                <w:rFonts w:ascii="Calibri" w:eastAsia="MS Mincho" w:hAnsi="Calibri" w:cs="Calibri" w:hint="eastAsia"/>
                <w:i/>
                <w:iCs/>
                <w:color w:val="00B050"/>
                <w:kern w:val="2"/>
                <w:sz w:val="16"/>
                <w:szCs w:val="16"/>
                <w:u w:val="single"/>
              </w:rPr>
              <w:t>For location based trigger condition:</w:t>
            </w:r>
          </w:p>
          <w:p w:rsidR="001F3D5A" w:rsidRDefault="001F3D5A" w:rsidP="001F3D5A">
            <w:pPr>
              <w:spacing w:after="0"/>
              <w:contextualSpacing/>
              <w:rPr>
                <w:rFonts w:ascii="Calibri" w:hAnsi="Calibri" w:cs="Calibri"/>
                <w:b/>
                <w:i/>
                <w:color w:val="FF0000"/>
                <w:kern w:val="2"/>
                <w:sz w:val="16"/>
                <w:szCs w:val="16"/>
              </w:rPr>
            </w:pPr>
            <w:r>
              <w:rPr>
                <w:rFonts w:ascii="Calibri" w:hAnsi="Calibri" w:cs="Calibri" w:hint="eastAsia"/>
                <w:b/>
                <w:i/>
                <w:color w:val="FF0000"/>
                <w:kern w:val="2"/>
                <w:sz w:val="16"/>
                <w:szCs w:val="16"/>
              </w:rPr>
              <w:t>Too late CHO Execution: RLF happens in the source cell before CHO execution. The UE re-establishes in a cell other than the source cell.</w:t>
            </w:r>
          </w:p>
          <w:p w:rsidR="001F3D5A" w:rsidRDefault="001F3D5A" w:rsidP="001F3D5A">
            <w:pPr>
              <w:spacing w:after="0"/>
              <w:contextualSpacing/>
              <w:rPr>
                <w:rFonts w:ascii="Calibri" w:hAnsi="Calibri" w:cs="Calibri"/>
                <w:b/>
                <w:i/>
                <w:color w:val="FF0000"/>
                <w:kern w:val="2"/>
                <w:sz w:val="16"/>
                <w:szCs w:val="16"/>
              </w:rPr>
            </w:pPr>
            <w:r>
              <w:rPr>
                <w:rFonts w:ascii="Calibri" w:hAnsi="Calibri" w:cs="Calibri" w:hint="eastAsia"/>
                <w:b/>
                <w:i/>
                <w:color w:val="FF0000"/>
                <w:kern w:val="2"/>
                <w:sz w:val="16"/>
                <w:szCs w:val="16"/>
              </w:rPr>
              <w:t xml:space="preserve">Too Early CHO Execution/CHO Execution to Wrong Cell: HOF happens or RLF happens shortly after successful CHO, and the UE re-connects in the source cell or a third cell. </w:t>
            </w:r>
          </w:p>
          <w:p w:rsidR="001F3D5A" w:rsidRDefault="001F3D5A" w:rsidP="001F3D5A">
            <w:pPr>
              <w:spacing w:after="0"/>
              <w:contextualSpacing/>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For earth fixed case, there is no need to report the measured distance from the UE</w:t>
            </w:r>
            <w:r>
              <w:rPr>
                <w:rFonts w:ascii="Calibri" w:eastAsia="MS Mincho" w:hAnsi="Calibri" w:cs="Calibri"/>
                <w:i/>
                <w:iCs/>
                <w:color w:val="00B050"/>
                <w:kern w:val="2"/>
                <w:sz w:val="16"/>
                <w:szCs w:val="16"/>
              </w:rPr>
              <w:t>.</w:t>
            </w:r>
          </w:p>
          <w:p w:rsidR="001F3D5A" w:rsidRDefault="001F3D5A" w:rsidP="008C2908">
            <w:pPr>
              <w:spacing w:afterLines="50" w:after="120"/>
              <w:rPr>
                <w:rFonts w:ascii="Calibri" w:hAnsi="Calibri" w:cs="Calibri"/>
                <w:i/>
                <w:color w:val="FF0000"/>
                <w:kern w:val="2"/>
                <w:sz w:val="16"/>
                <w:szCs w:val="16"/>
              </w:rPr>
            </w:pPr>
            <w:r>
              <w:rPr>
                <w:rFonts w:ascii="Calibri" w:hAnsi="Calibri" w:cs="Calibri"/>
                <w:i/>
                <w:color w:val="FF0000"/>
                <w:kern w:val="2"/>
                <w:sz w:val="16"/>
                <w:szCs w:val="16"/>
              </w:rPr>
              <w:t xml:space="preserve">FFS on the earth moving case. </w:t>
            </w:r>
          </w:p>
          <w:p w:rsidR="001F3D5A" w:rsidRDefault="001F3D5A" w:rsidP="001F3D5A">
            <w:pPr>
              <w:spacing w:after="0"/>
              <w:rPr>
                <w:rFonts w:ascii="Calibri" w:eastAsia="MS Mincho" w:hAnsi="Calibri" w:cs="Calibri"/>
                <w:i/>
                <w:iCs/>
                <w:color w:val="00B050"/>
                <w:kern w:val="2"/>
                <w:sz w:val="16"/>
                <w:szCs w:val="16"/>
                <w:u w:val="single"/>
              </w:rPr>
            </w:pPr>
            <w:r>
              <w:rPr>
                <w:rFonts w:ascii="Calibri" w:eastAsia="MS Mincho" w:hAnsi="Calibri" w:cs="Calibri" w:hint="eastAsia"/>
                <w:i/>
                <w:iCs/>
                <w:color w:val="00B050"/>
                <w:kern w:val="2"/>
                <w:sz w:val="16"/>
                <w:szCs w:val="16"/>
                <w:u w:val="single"/>
              </w:rPr>
              <w:t>For joint trigger condition:</w:t>
            </w:r>
          </w:p>
          <w:p w:rsidR="001F3D5A" w:rsidRDefault="001F3D5A" w:rsidP="001F3D5A">
            <w:pPr>
              <w:spacing w:after="0"/>
              <w:rPr>
                <w:rFonts w:ascii="Calibri" w:hAnsi="Calibri" w:cs="Calibri"/>
                <w:b/>
                <w:i/>
                <w:color w:val="FF0000"/>
                <w:kern w:val="2"/>
                <w:sz w:val="16"/>
                <w:szCs w:val="16"/>
              </w:rPr>
            </w:pPr>
            <w:r>
              <w:rPr>
                <w:rFonts w:ascii="Calibri" w:hAnsi="Calibri" w:cs="Calibri" w:hint="eastAsia"/>
                <w:b/>
                <w:i/>
                <w:color w:val="FF0000"/>
                <w:kern w:val="2"/>
                <w:sz w:val="16"/>
                <w:szCs w:val="16"/>
              </w:rPr>
              <w:t>Case 1: Too Late CHO Execution: RLF happens in the source cell. The UE re-establishes in the cell other than the source cell.</w:t>
            </w:r>
          </w:p>
          <w:p w:rsidR="001F3D5A" w:rsidRDefault="001F3D5A" w:rsidP="001F3D5A">
            <w:pPr>
              <w:spacing w:after="0"/>
              <w:rPr>
                <w:rFonts w:ascii="Calibri" w:hAnsi="Calibri" w:cs="Calibri"/>
                <w:b/>
                <w:i/>
                <w:color w:val="FF0000"/>
                <w:kern w:val="2"/>
                <w:sz w:val="16"/>
                <w:szCs w:val="16"/>
              </w:rPr>
            </w:pPr>
            <w:r>
              <w:rPr>
                <w:rFonts w:ascii="Calibri" w:hAnsi="Calibri" w:cs="Calibri"/>
                <w:b/>
                <w:i/>
                <w:color w:val="FF0000"/>
                <w:kern w:val="2"/>
                <w:sz w:val="16"/>
                <w:szCs w:val="16"/>
              </w:rPr>
              <w:t>C</w:t>
            </w:r>
            <w:r>
              <w:rPr>
                <w:rFonts w:ascii="Calibri" w:hAnsi="Calibri" w:cs="Calibri" w:hint="eastAsia"/>
                <w:b/>
                <w:i/>
                <w:color w:val="FF0000"/>
                <w:kern w:val="2"/>
                <w:sz w:val="16"/>
                <w:szCs w:val="16"/>
              </w:rPr>
              <w:t>ase 2: Too Early CHO Execution/CHO Execution to Wrong Cell: HOF happens or RLF happens in the target cell short after successful HO. The UE re-establishes in the source cell or a third cell.</w:t>
            </w:r>
          </w:p>
          <w:p w:rsidR="001F3D5A" w:rsidRDefault="001F3D5A" w:rsidP="00350503">
            <w:pPr>
              <w:spacing w:afterLines="50" w:after="120"/>
              <w:contextualSpacing/>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UE reports the fulfilled CHO trigger conditions before RLF occurs in case of </w:t>
            </w:r>
            <w:r>
              <w:rPr>
                <w:rFonts w:ascii="Calibri" w:eastAsia="MS Mincho" w:hAnsi="Calibri" w:cs="Calibri"/>
                <w:i/>
                <w:iCs/>
                <w:color w:val="00B050"/>
                <w:kern w:val="2"/>
                <w:sz w:val="16"/>
                <w:szCs w:val="16"/>
              </w:rPr>
              <w:t>“</w:t>
            </w:r>
            <w:r>
              <w:rPr>
                <w:rFonts w:ascii="Calibri" w:eastAsia="MS Mincho" w:hAnsi="Calibri" w:cs="Calibri" w:hint="eastAsia"/>
                <w:i/>
                <w:iCs/>
                <w:color w:val="00B050"/>
                <w:kern w:val="2"/>
                <w:sz w:val="16"/>
                <w:szCs w:val="16"/>
              </w:rPr>
              <w:t xml:space="preserve">time </w:t>
            </w:r>
            <w:r>
              <w:rPr>
                <w:rFonts w:ascii="Calibri" w:eastAsia="MS Mincho" w:hAnsi="Calibri" w:cs="Calibri"/>
                <w:i/>
                <w:iCs/>
                <w:color w:val="00B050"/>
                <w:kern w:val="2"/>
                <w:sz w:val="16"/>
                <w:szCs w:val="16"/>
              </w:rPr>
              <w:t xml:space="preserve">and </w:t>
            </w:r>
            <w:r>
              <w:rPr>
                <w:rFonts w:ascii="Calibri" w:eastAsia="MS Mincho" w:hAnsi="Calibri" w:cs="Calibri" w:hint="eastAsia"/>
                <w:i/>
                <w:iCs/>
                <w:color w:val="00B050"/>
                <w:kern w:val="2"/>
                <w:sz w:val="16"/>
                <w:szCs w:val="16"/>
              </w:rPr>
              <w:t>measurement based trigger condition</w:t>
            </w:r>
            <w:r>
              <w:rPr>
                <w:rFonts w:ascii="Calibri" w:eastAsia="MS Mincho" w:hAnsi="Calibri" w:cs="Calibri"/>
                <w:i/>
                <w:iCs/>
                <w:color w:val="00B050"/>
                <w:kern w:val="2"/>
                <w:sz w:val="16"/>
                <w:szCs w:val="16"/>
              </w:rPr>
              <w:t>”</w:t>
            </w:r>
            <w:r>
              <w:rPr>
                <w:rFonts w:ascii="Calibri" w:eastAsia="MS Mincho" w:hAnsi="Calibri" w:cs="Calibri" w:hint="eastAsia"/>
                <w:i/>
                <w:iCs/>
                <w:color w:val="00B050"/>
                <w:kern w:val="2"/>
                <w:sz w:val="16"/>
                <w:szCs w:val="16"/>
              </w:rPr>
              <w:t xml:space="preserve"> or </w:t>
            </w:r>
            <w:r>
              <w:rPr>
                <w:rFonts w:ascii="Calibri" w:eastAsia="MS Mincho" w:hAnsi="Calibri" w:cs="Calibri"/>
                <w:i/>
                <w:iCs/>
                <w:color w:val="00B050"/>
                <w:kern w:val="2"/>
                <w:sz w:val="16"/>
                <w:szCs w:val="16"/>
              </w:rPr>
              <w:t>“</w:t>
            </w:r>
            <w:r>
              <w:rPr>
                <w:rFonts w:ascii="Calibri" w:eastAsia="MS Mincho" w:hAnsi="Calibri" w:cs="Calibri" w:hint="eastAsia"/>
                <w:i/>
                <w:iCs/>
                <w:color w:val="00B050"/>
                <w:kern w:val="2"/>
                <w:sz w:val="16"/>
                <w:szCs w:val="16"/>
              </w:rPr>
              <w:t xml:space="preserve">location </w:t>
            </w:r>
            <w:r>
              <w:rPr>
                <w:rFonts w:ascii="Calibri" w:eastAsia="MS Mincho" w:hAnsi="Calibri" w:cs="Calibri"/>
                <w:i/>
                <w:iCs/>
                <w:color w:val="00B050"/>
                <w:kern w:val="2"/>
                <w:sz w:val="16"/>
                <w:szCs w:val="16"/>
              </w:rPr>
              <w:t>and</w:t>
            </w:r>
            <w:r>
              <w:rPr>
                <w:rFonts w:ascii="Calibri" w:eastAsia="MS Mincho" w:hAnsi="Calibri" w:cs="Calibri" w:hint="eastAsia"/>
                <w:i/>
                <w:iCs/>
                <w:color w:val="00B050"/>
                <w:kern w:val="2"/>
                <w:sz w:val="16"/>
                <w:szCs w:val="16"/>
              </w:rPr>
              <w:t xml:space="preserve"> measurement based trigger condition</w:t>
            </w:r>
            <w:r>
              <w:rPr>
                <w:rFonts w:ascii="Calibri" w:eastAsia="MS Mincho" w:hAnsi="Calibri" w:cs="Calibri"/>
                <w:i/>
                <w:iCs/>
                <w:color w:val="00B050"/>
                <w:kern w:val="2"/>
                <w:sz w:val="16"/>
                <w:szCs w:val="16"/>
              </w:rPr>
              <w:t>”</w:t>
            </w:r>
            <w:r>
              <w:rPr>
                <w:rFonts w:ascii="Calibri" w:eastAsia="MS Mincho" w:hAnsi="Calibri" w:cs="Calibri" w:hint="eastAsia"/>
                <w:i/>
                <w:iCs/>
                <w:color w:val="00B050"/>
                <w:kern w:val="2"/>
                <w:sz w:val="16"/>
                <w:szCs w:val="16"/>
              </w:rPr>
              <w:t>, it is up to RAN2 to decide to r</w:t>
            </w:r>
            <w:r>
              <w:rPr>
                <w:rFonts w:ascii="Calibri" w:eastAsia="MS Mincho" w:hAnsi="Calibri" w:cs="Calibri"/>
                <w:i/>
                <w:iCs/>
                <w:color w:val="00B050"/>
                <w:kern w:val="2"/>
                <w:sz w:val="16"/>
                <w:szCs w:val="16"/>
              </w:rPr>
              <w:t>eu</w:t>
            </w:r>
            <w:r>
              <w:rPr>
                <w:rFonts w:ascii="Calibri" w:eastAsia="MS Mincho" w:hAnsi="Calibri" w:cs="Calibri" w:hint="eastAsia"/>
                <w:i/>
                <w:iCs/>
                <w:color w:val="00B050"/>
                <w:kern w:val="2"/>
                <w:sz w:val="16"/>
                <w:szCs w:val="16"/>
              </w:rPr>
              <w:t>se the existing IE or not.</w:t>
            </w:r>
          </w:p>
          <w:p w:rsidR="00616704" w:rsidRPr="00924D2C" w:rsidRDefault="00616704" w:rsidP="00365A38">
            <w:pPr>
              <w:pStyle w:val="21"/>
              <w:spacing w:afterLines="50" w:after="120"/>
              <w:rPr>
                <w:b/>
                <w:bCs/>
                <w:iCs/>
                <w:sz w:val="16"/>
                <w:szCs w:val="16"/>
                <w:lang w:eastAsia="en-US"/>
              </w:rPr>
            </w:pPr>
            <w:r>
              <w:rPr>
                <w:b/>
                <w:bCs/>
                <w:iCs/>
                <w:sz w:val="16"/>
                <w:szCs w:val="16"/>
                <w:lang w:eastAsia="en-US"/>
              </w:rPr>
              <w:t>RAN3#12</w:t>
            </w:r>
            <w:r>
              <w:rPr>
                <w:b/>
                <w:bCs/>
                <w:iCs/>
                <w:sz w:val="16"/>
                <w:szCs w:val="16"/>
              </w:rPr>
              <w:t>6</w:t>
            </w:r>
            <w:r>
              <w:rPr>
                <w:b/>
                <w:bCs/>
                <w:iCs/>
                <w:sz w:val="16"/>
                <w:szCs w:val="16"/>
                <w:lang w:eastAsia="en-US"/>
              </w:rPr>
              <w:t>:</w:t>
            </w:r>
          </w:p>
          <w:p w:rsidR="00551D8C" w:rsidRDefault="00551D8C" w:rsidP="008C2908">
            <w:pPr>
              <w:pStyle w:val="af4"/>
              <w:spacing w:after="60"/>
              <w:ind w:left="0"/>
              <w:rPr>
                <w:rFonts w:ascii="Calibri" w:eastAsia="MS Mincho" w:hAnsi="Calibri" w:cs="Calibri"/>
                <w:i/>
                <w:iCs/>
                <w:color w:val="00B050"/>
                <w:kern w:val="2"/>
                <w:sz w:val="16"/>
                <w:szCs w:val="16"/>
              </w:rPr>
            </w:pPr>
            <w:r w:rsidRPr="008C2908">
              <w:rPr>
                <w:rFonts w:ascii="Calibri" w:eastAsia="MS Mincho" w:hAnsi="Calibri" w:cs="Calibri"/>
                <w:i/>
                <w:iCs/>
                <w:color w:val="00B050"/>
                <w:kern w:val="2"/>
                <w:sz w:val="16"/>
                <w:szCs w:val="16"/>
              </w:rPr>
              <w:t>WA: There is no need to report any other info in the RLF report for the location based CHO</w:t>
            </w:r>
            <w:r w:rsidRPr="008C2908">
              <w:rPr>
                <w:rFonts w:ascii="Calibri" w:eastAsia="MS Mincho" w:hAnsi="Calibri" w:cs="Calibri" w:hint="eastAsia"/>
                <w:i/>
                <w:iCs/>
                <w:color w:val="00B050"/>
                <w:kern w:val="2"/>
                <w:sz w:val="16"/>
                <w:szCs w:val="16"/>
              </w:rPr>
              <w:t>.</w:t>
            </w:r>
          </w:p>
          <w:p w:rsidR="00365A38" w:rsidRPr="00924D2C" w:rsidRDefault="00365A38" w:rsidP="00365A38">
            <w:pPr>
              <w:pStyle w:val="21"/>
              <w:spacing w:beforeLines="50" w:before="120" w:afterLines="50" w:after="120"/>
              <w:rPr>
                <w:b/>
                <w:bCs/>
                <w:iCs/>
                <w:sz w:val="16"/>
                <w:szCs w:val="16"/>
                <w:lang w:eastAsia="en-US"/>
              </w:rPr>
            </w:pPr>
            <w:r>
              <w:rPr>
                <w:b/>
                <w:bCs/>
                <w:iCs/>
                <w:sz w:val="16"/>
                <w:szCs w:val="16"/>
                <w:lang w:eastAsia="en-US"/>
              </w:rPr>
              <w:t>RAN3#127:</w:t>
            </w:r>
          </w:p>
          <w:p w:rsidR="00365A38" w:rsidRPr="00301D4A" w:rsidRDefault="00365A38" w:rsidP="00365A38">
            <w:pPr>
              <w:rPr>
                <w:rFonts w:cs="Calibri"/>
                <w:sz w:val="16"/>
                <w:u w:val="single"/>
              </w:rPr>
            </w:pPr>
            <w:r w:rsidRPr="00301D4A">
              <w:rPr>
                <w:rFonts w:cs="Calibri"/>
                <w:sz w:val="16"/>
                <w:u w:val="single"/>
              </w:rPr>
              <w:t>Time based CHO:</w:t>
            </w:r>
          </w:p>
          <w:p w:rsidR="00365A38" w:rsidRPr="00365A38" w:rsidRDefault="00365A38" w:rsidP="00365A38">
            <w:pPr>
              <w:pStyle w:val="af4"/>
              <w:spacing w:beforeLines="50" w:before="120" w:after="0"/>
              <w:ind w:left="0"/>
              <w:rPr>
                <w:rFonts w:ascii="Calibri" w:eastAsia="MS Mincho" w:hAnsi="Calibri" w:cs="Calibri"/>
                <w:i/>
                <w:iCs/>
                <w:color w:val="00B050"/>
                <w:kern w:val="2"/>
                <w:sz w:val="16"/>
                <w:szCs w:val="16"/>
              </w:rPr>
            </w:pPr>
            <w:r w:rsidRPr="00365A38">
              <w:rPr>
                <w:rFonts w:ascii="Calibri" w:eastAsia="MS Mincho" w:hAnsi="Calibri" w:cs="Calibri"/>
                <w:i/>
                <w:iCs/>
                <w:color w:val="00B050"/>
                <w:kern w:val="2"/>
                <w:sz w:val="16"/>
                <w:szCs w:val="16"/>
              </w:rPr>
              <w:t xml:space="preserve">Existing timers can be reused to identify when RLF happens with 100ms accuracy. </w:t>
            </w:r>
          </w:p>
          <w:p w:rsidR="00365A38" w:rsidRPr="00164D8E" w:rsidRDefault="00365A38" w:rsidP="00365A38">
            <w:pPr>
              <w:spacing w:after="0"/>
              <w:rPr>
                <w:rFonts w:asciiTheme="minorHAnsi" w:hAnsiTheme="minorHAnsi" w:cstheme="minorHAnsi"/>
                <w:bCs/>
                <w:i/>
                <w:color w:val="0000FF"/>
                <w:sz w:val="16"/>
                <w:szCs w:val="18"/>
              </w:rPr>
            </w:pPr>
            <w:r w:rsidRPr="00164D8E">
              <w:rPr>
                <w:rFonts w:asciiTheme="minorHAnsi" w:hAnsiTheme="minorHAnsi" w:cstheme="minorHAnsi"/>
                <w:bCs/>
                <w:i/>
                <w:color w:val="0000FF"/>
                <w:sz w:val="16"/>
                <w:szCs w:val="18"/>
              </w:rPr>
              <w:t>FFS whether more accuracy is needed.</w:t>
            </w:r>
          </w:p>
          <w:p w:rsidR="00365A38" w:rsidRPr="00365A38" w:rsidRDefault="00365A38" w:rsidP="00365A38">
            <w:pPr>
              <w:pStyle w:val="af4"/>
              <w:ind w:left="0"/>
              <w:rPr>
                <w:rFonts w:ascii="Calibri" w:eastAsia="MS Mincho" w:hAnsi="Calibri" w:cs="Calibri"/>
                <w:i/>
                <w:iCs/>
                <w:color w:val="00B050"/>
                <w:kern w:val="2"/>
                <w:sz w:val="16"/>
                <w:szCs w:val="16"/>
              </w:rPr>
            </w:pPr>
            <w:r w:rsidRPr="00365A38">
              <w:rPr>
                <w:rFonts w:ascii="Calibri" w:eastAsia="MS Mincho" w:hAnsi="Calibri" w:cs="Calibri"/>
                <w:i/>
                <w:iCs/>
                <w:color w:val="00B050"/>
                <w:kern w:val="2"/>
                <w:sz w:val="16"/>
                <w:szCs w:val="16"/>
              </w:rPr>
              <w:t>No need to identify whether RLF happens before or after T1 for time-based CHO.</w:t>
            </w:r>
          </w:p>
          <w:p w:rsidR="00365A38" w:rsidRPr="00301D4A" w:rsidRDefault="00365A38" w:rsidP="00365A38">
            <w:pPr>
              <w:rPr>
                <w:rFonts w:cs="Calibri"/>
                <w:sz w:val="16"/>
                <w:u w:val="single"/>
              </w:rPr>
            </w:pPr>
            <w:r w:rsidRPr="00301D4A">
              <w:rPr>
                <w:rFonts w:cs="Calibri"/>
                <w:sz w:val="16"/>
                <w:u w:val="single"/>
              </w:rPr>
              <w:t>Location based CHO:</w:t>
            </w:r>
          </w:p>
          <w:p w:rsidR="00365A38" w:rsidRPr="00365A38" w:rsidRDefault="00365A38" w:rsidP="00365A38">
            <w:pPr>
              <w:pStyle w:val="af4"/>
              <w:ind w:left="0"/>
              <w:rPr>
                <w:rFonts w:ascii="Calibri" w:eastAsia="MS Mincho" w:hAnsi="Calibri" w:cs="Calibri"/>
                <w:i/>
                <w:iCs/>
                <w:color w:val="00B050"/>
                <w:kern w:val="2"/>
                <w:sz w:val="16"/>
                <w:szCs w:val="16"/>
              </w:rPr>
            </w:pPr>
            <w:r w:rsidRPr="00365A38">
              <w:rPr>
                <w:rFonts w:ascii="Calibri" w:eastAsia="MS Mincho" w:hAnsi="Calibri" w:cs="Calibri"/>
                <w:i/>
                <w:iCs/>
                <w:color w:val="00B050"/>
                <w:kern w:val="2"/>
                <w:sz w:val="16"/>
                <w:szCs w:val="16"/>
              </w:rPr>
              <w:t>Revert the WA: There is no need to report any other info in the RLF report for the location based CHO.</w:t>
            </w:r>
          </w:p>
          <w:p w:rsidR="00365A38" w:rsidRPr="00365A38" w:rsidRDefault="00365A38" w:rsidP="00365A38">
            <w:pPr>
              <w:pStyle w:val="af4"/>
              <w:spacing w:after="0"/>
              <w:ind w:left="0"/>
              <w:rPr>
                <w:rFonts w:ascii="Calibri" w:eastAsia="MS Mincho" w:hAnsi="Calibri" w:cs="Calibri"/>
                <w:i/>
                <w:iCs/>
                <w:color w:val="00B050"/>
                <w:kern w:val="2"/>
                <w:sz w:val="16"/>
                <w:szCs w:val="16"/>
              </w:rPr>
            </w:pPr>
            <w:r w:rsidRPr="00365A38">
              <w:rPr>
                <w:rFonts w:ascii="Calibri" w:eastAsia="MS Mincho" w:hAnsi="Calibri" w:cs="Calibri"/>
                <w:i/>
                <w:iCs/>
                <w:color w:val="00B050"/>
                <w:kern w:val="2"/>
                <w:sz w:val="16"/>
                <w:szCs w:val="16"/>
              </w:rPr>
              <w:lastRenderedPageBreak/>
              <w:t>For earth moving case, the accuracy and complexity issue of the network-based solution is acknowledged.</w:t>
            </w:r>
          </w:p>
          <w:p w:rsidR="00365A38" w:rsidRPr="00850939" w:rsidRDefault="00365A38" w:rsidP="00365A38">
            <w:pPr>
              <w:numPr>
                <w:ilvl w:val="0"/>
                <w:numId w:val="14"/>
              </w:numPr>
              <w:spacing w:beforeLines="50" w:before="120" w:after="120"/>
              <w:rPr>
                <w:rFonts w:cs="Calibri"/>
                <w:sz w:val="16"/>
              </w:rPr>
            </w:pPr>
            <w:r w:rsidRPr="00850939">
              <w:rPr>
                <w:rFonts w:cs="Calibri"/>
                <w:sz w:val="16"/>
              </w:rPr>
              <w:t>Option 1: to introduce the absolute UTC time of when RLF/HOF happens in the RLF report.</w:t>
            </w:r>
          </w:p>
          <w:p w:rsidR="00365A38" w:rsidRPr="00850939" w:rsidRDefault="00365A38" w:rsidP="00365A38">
            <w:pPr>
              <w:numPr>
                <w:ilvl w:val="0"/>
                <w:numId w:val="14"/>
              </w:numPr>
              <w:spacing w:before="100" w:beforeAutospacing="1" w:after="120"/>
              <w:rPr>
                <w:rFonts w:cs="Calibri"/>
                <w:sz w:val="16"/>
              </w:rPr>
            </w:pPr>
            <w:r w:rsidRPr="00850939">
              <w:rPr>
                <w:rFonts w:cs="Calibri"/>
                <w:sz w:val="16"/>
              </w:rPr>
              <w:t>Option 2: to introduce measured distance from UE to moving reference location of serving cell, and measured distance from UE to moving reference location of candidate cell (when RLF occurred).</w:t>
            </w:r>
          </w:p>
          <w:p w:rsidR="00365A38" w:rsidRPr="00850939" w:rsidRDefault="00365A38" w:rsidP="00365A38">
            <w:pPr>
              <w:spacing w:after="0"/>
              <w:rPr>
                <w:rFonts w:asciiTheme="minorHAnsi" w:hAnsiTheme="minorHAnsi" w:cstheme="minorHAnsi"/>
                <w:bCs/>
                <w:i/>
                <w:color w:val="0000FF"/>
                <w:sz w:val="16"/>
                <w:szCs w:val="18"/>
              </w:rPr>
            </w:pPr>
            <w:r w:rsidRPr="00850939">
              <w:rPr>
                <w:rFonts w:asciiTheme="minorHAnsi" w:hAnsiTheme="minorHAnsi" w:cstheme="minorHAnsi"/>
                <w:bCs/>
                <w:i/>
                <w:color w:val="0000FF"/>
                <w:sz w:val="16"/>
                <w:szCs w:val="18"/>
              </w:rPr>
              <w:t>FFS on option 1 or option 2.</w:t>
            </w:r>
          </w:p>
          <w:p w:rsidR="00365A38" w:rsidRPr="00365A38" w:rsidRDefault="00365A38" w:rsidP="0065553A">
            <w:pPr>
              <w:spacing w:beforeLines="50" w:before="120" w:after="0"/>
              <w:rPr>
                <w:rFonts w:ascii="Calibri" w:hAnsi="Calibri" w:cs="Calibri"/>
                <w:b/>
                <w:color w:val="008000"/>
                <w:sz w:val="18"/>
                <w:szCs w:val="24"/>
                <w:lang w:eastAsia="zh-CN"/>
              </w:rPr>
            </w:pPr>
            <w:r w:rsidRPr="00850939">
              <w:rPr>
                <w:rFonts w:asciiTheme="minorHAnsi" w:hAnsiTheme="minorHAnsi" w:cstheme="minorHAnsi"/>
                <w:bCs/>
                <w:i/>
                <w:color w:val="0000FF"/>
                <w:sz w:val="16"/>
                <w:szCs w:val="18"/>
              </w:rPr>
              <w:t>MRO mechanism for intra-NTN mobility shall be enhanced to enable handling of local and temporary propagation changes (e.g. due to clouds, rain etc.)?</w:t>
            </w:r>
          </w:p>
        </w:tc>
      </w:tr>
    </w:tbl>
    <w:p w:rsidR="003661D6" w:rsidRDefault="00817870" w:rsidP="0064435F">
      <w:pPr>
        <w:spacing w:beforeLines="100" w:before="240"/>
      </w:pPr>
      <w:r>
        <w:rPr>
          <w:rFonts w:hint="eastAsia"/>
          <w:lang w:eastAsia="zh-CN"/>
        </w:rPr>
        <w:lastRenderedPageBreak/>
        <w:t>R</w:t>
      </w:r>
      <w:r>
        <w:rPr>
          <w:lang w:eastAsia="zh-CN"/>
        </w:rPr>
        <w:t xml:space="preserve">egarding </w:t>
      </w:r>
      <w:r w:rsidRPr="00817870">
        <w:rPr>
          <w:lang w:eastAsia="zh-CN"/>
        </w:rPr>
        <w:t>MRO for CHO with</w:t>
      </w:r>
      <w:r>
        <w:rPr>
          <w:lang w:eastAsia="zh-CN"/>
        </w:rPr>
        <w:t xml:space="preserve"> a time-based trigger condition, RAN3 agreed</w:t>
      </w:r>
      <w:r w:rsidR="0051373B">
        <w:rPr>
          <w:lang w:eastAsia="zh-CN"/>
        </w:rPr>
        <w:t xml:space="preserve"> that e</w:t>
      </w:r>
      <w:r w:rsidR="0051373B" w:rsidRPr="0051373B">
        <w:rPr>
          <w:lang w:eastAsia="zh-CN"/>
        </w:rPr>
        <w:t>xisting timers can be reused to identify when RLF happens with 100ms accuracy</w:t>
      </w:r>
      <w:r w:rsidR="0051373B">
        <w:rPr>
          <w:lang w:eastAsia="zh-CN"/>
        </w:rPr>
        <w:t xml:space="preserve"> while </w:t>
      </w:r>
      <w:r w:rsidR="0051373B" w:rsidRPr="0051373B">
        <w:rPr>
          <w:lang w:eastAsia="zh-CN"/>
        </w:rPr>
        <w:t>whether more accuracy is needed</w:t>
      </w:r>
      <w:r w:rsidR="0051373B">
        <w:rPr>
          <w:lang w:eastAsia="zh-CN"/>
        </w:rPr>
        <w:t xml:space="preserve"> is FFS.</w:t>
      </w:r>
      <w:r w:rsidR="003661D6">
        <w:rPr>
          <w:lang w:eastAsia="zh-CN"/>
        </w:rPr>
        <w:t xml:space="preserve"> </w:t>
      </w:r>
      <w:r w:rsidR="006F0E8D">
        <w:rPr>
          <w:lang w:eastAsia="zh-CN"/>
        </w:rPr>
        <w:t>T</w:t>
      </w:r>
      <w:r w:rsidR="00FA7DDE">
        <w:t>he existing RLF report include</w:t>
      </w:r>
      <w:r w:rsidR="009E1D4D">
        <w:t>s</w:t>
      </w:r>
      <w:r w:rsidR="00FA7DDE">
        <w:t xml:space="preserve"> </w:t>
      </w:r>
      <w:r w:rsidR="00FA7DDE">
        <w:rPr>
          <w:i/>
          <w:iCs/>
        </w:rPr>
        <w:t>timeSinceFailure</w:t>
      </w:r>
      <w:r w:rsidR="00FA7DDE">
        <w:t>,</w:t>
      </w:r>
      <w:r w:rsidR="00FA7DDE">
        <w:rPr>
          <w:i/>
          <w:iCs/>
        </w:rPr>
        <w:t xml:space="preserve"> timeConnFailure </w:t>
      </w:r>
      <w:r w:rsidR="00FA7DDE">
        <w:t>and</w:t>
      </w:r>
      <w:r w:rsidR="00FA7DDE">
        <w:rPr>
          <w:i/>
          <w:iCs/>
        </w:rPr>
        <w:t xml:space="preserve"> timeSinceCHO-Reconfig</w:t>
      </w:r>
      <w:r w:rsidR="00FA7DDE">
        <w:t xml:space="preserve">. </w:t>
      </w:r>
      <w:r w:rsidR="009E1D4D">
        <w:t>As pointed out by companies, the</w:t>
      </w:r>
      <w:r w:rsidR="00FA7DDE">
        <w:t xml:space="preserve"> issue with reusing these timers for </w:t>
      </w:r>
      <w:r w:rsidR="009E1D4D">
        <w:t>MRO for intra-</w:t>
      </w:r>
      <w:r w:rsidR="00FA7DDE">
        <w:t xml:space="preserve">NTN </w:t>
      </w:r>
      <w:r w:rsidR="009E1D4D">
        <w:t xml:space="preserve">mobility </w:t>
      </w:r>
      <w:r w:rsidR="00FA7DDE">
        <w:t xml:space="preserve">is that the </w:t>
      </w:r>
      <w:r w:rsidR="00FA7DDE">
        <w:rPr>
          <w:i/>
          <w:iCs/>
        </w:rPr>
        <w:t>t1-Threshold</w:t>
      </w:r>
      <w:r w:rsidR="009E1D4D">
        <w:t xml:space="preserve"> </w:t>
      </w:r>
      <w:r w:rsidR="00EE3D11">
        <w:t>defined in</w:t>
      </w:r>
      <w:r w:rsidR="00EE3D11" w:rsidRPr="00EE3D11">
        <w:rPr>
          <w:lang w:eastAsia="zh-CN"/>
        </w:rPr>
        <w:t xml:space="preserve"> </w:t>
      </w:r>
      <w:r w:rsidR="00EE3D11" w:rsidRPr="00FA6017">
        <w:rPr>
          <w:lang w:eastAsia="zh-CN"/>
        </w:rPr>
        <w:t>TS 38.331</w:t>
      </w:r>
      <w:r w:rsidR="00EE3D11">
        <w:t xml:space="preserve"> </w:t>
      </w:r>
      <w:r w:rsidR="009B00B4">
        <w:t>is in 10ms units while</w:t>
      </w:r>
      <w:r w:rsidR="00FA7DDE">
        <w:t xml:space="preserve"> the granularity of the existing timers in RLF report is in seconds or 100ms. </w:t>
      </w:r>
      <w:r w:rsidR="006B44E2">
        <w:t xml:space="preserve">If </w:t>
      </w:r>
      <w:r w:rsidR="006B44E2">
        <w:rPr>
          <w:i/>
          <w:iCs/>
        </w:rPr>
        <w:t>timeSinceCHO-Reconfig</w:t>
      </w:r>
      <w:r w:rsidR="006B44E2">
        <w:t xml:space="preserve"> is</w:t>
      </w:r>
      <w:r w:rsidR="00FA7DDE">
        <w:t xml:space="preserve"> used to distinguish if the RLF happens before</w:t>
      </w:r>
      <w:r w:rsidR="009E1D4D">
        <w:t xml:space="preserve"> or after </w:t>
      </w:r>
      <w:r w:rsidR="00D20C47">
        <w:rPr>
          <w:i/>
          <w:iCs/>
        </w:rPr>
        <w:t>t1-Threshold</w:t>
      </w:r>
      <w:r w:rsidR="006B44E2">
        <w:t>,</w:t>
      </w:r>
      <w:r w:rsidR="00FA7DDE">
        <w:t xml:space="preserve"> </w:t>
      </w:r>
      <w:r w:rsidR="006B44E2">
        <w:t>it</w:t>
      </w:r>
      <w:r w:rsidR="00FA7DDE">
        <w:t xml:space="preserve"> would result in a w</w:t>
      </w:r>
      <w:r w:rsidR="006B44E2">
        <w:t xml:space="preserve">rong conclusion of comparing </w:t>
      </w:r>
      <w:r w:rsidR="00CC0658">
        <w:rPr>
          <w:i/>
          <w:iCs/>
        </w:rPr>
        <w:t>t1-Threshold</w:t>
      </w:r>
      <w:r w:rsidR="006B44E2">
        <w:t xml:space="preserve"> and </w:t>
      </w:r>
      <w:r w:rsidR="00CC0658">
        <w:t>(the time CHO config is received</w:t>
      </w:r>
      <w:r w:rsidR="00CC0658" w:rsidRPr="00CC0658">
        <w:t xml:space="preserve"> + </w:t>
      </w:r>
      <w:r w:rsidR="00CC0658" w:rsidRPr="00CC0658">
        <w:rPr>
          <w:i/>
        </w:rPr>
        <w:t>timeSinceCHO-Reconfig</w:t>
      </w:r>
      <w:r w:rsidR="00CC0658">
        <w:t>)</w:t>
      </w:r>
      <w:r w:rsidR="006B44E2">
        <w:t xml:space="preserve"> in the network, because the network can’t know the true time of </w:t>
      </w:r>
      <w:r w:rsidR="006B44E2">
        <w:rPr>
          <w:i/>
          <w:iCs/>
        </w:rPr>
        <w:t>timeSinceCHO-Reconfig</w:t>
      </w:r>
      <w:r w:rsidR="006B44E2">
        <w:rPr>
          <w:iCs/>
        </w:rPr>
        <w:t xml:space="preserve"> in 10ms, i.e. the reported value is 200ms, but the true time may be 150ms, 160ms, 170ms, 180ms or 190ms</w:t>
      </w:r>
      <w:r w:rsidR="00141150">
        <w:t>.</w:t>
      </w:r>
      <w:r w:rsidR="00CC0658">
        <w:t xml:space="preserve"> </w:t>
      </w:r>
    </w:p>
    <w:p w:rsidR="00FA7DDE" w:rsidRPr="00DE36A6" w:rsidRDefault="00CC0658" w:rsidP="0064435F">
      <w:pPr>
        <w:spacing w:beforeLines="100" w:before="240"/>
      </w:pPr>
      <w:r>
        <w:t xml:space="preserve">On the other hand, </w:t>
      </w:r>
      <w:r w:rsidR="007A387E">
        <w:t>the network need deduce the time when CHO config is received b</w:t>
      </w:r>
      <w:r w:rsidR="001D6472">
        <w:t xml:space="preserve">y the UE based on the </w:t>
      </w:r>
      <w:r w:rsidR="003C6891">
        <w:t xml:space="preserve">absolute </w:t>
      </w:r>
      <w:r w:rsidR="001D6472">
        <w:t xml:space="preserve">time when the network </w:t>
      </w:r>
      <w:r w:rsidR="004E2C00">
        <w:t>sent CHO config</w:t>
      </w:r>
      <w:r w:rsidR="00D13674">
        <w:t xml:space="preserve"> and p</w:t>
      </w:r>
      <w:r w:rsidR="00D13674" w:rsidRPr="00D13674">
        <w:t>ropagation delay</w:t>
      </w:r>
      <w:r w:rsidR="001D6472">
        <w:t xml:space="preserve">, </w:t>
      </w:r>
      <w:r w:rsidR="004E2C00">
        <w:t xml:space="preserve">which </w:t>
      </w:r>
      <w:r w:rsidR="007A387E">
        <w:t>introduce</w:t>
      </w:r>
      <w:r w:rsidR="004E2C00">
        <w:t xml:space="preserve"> additional uncertainty. </w:t>
      </w:r>
      <w:r w:rsidR="0064435F">
        <w:t>I</w:t>
      </w:r>
      <w:r w:rsidR="00FA7DDE">
        <w:t xml:space="preserve">t is beneficial to have the absolute time </w:t>
      </w:r>
      <w:r w:rsidR="00EA1505">
        <w:t xml:space="preserve">or the relative time between </w:t>
      </w:r>
      <w:r w:rsidR="00DE36A6">
        <w:rPr>
          <w:i/>
          <w:iCs/>
        </w:rPr>
        <w:t>t1-Threshold</w:t>
      </w:r>
      <w:r w:rsidR="00EA1505">
        <w:t xml:space="preserve"> and </w:t>
      </w:r>
      <w:r w:rsidR="00DE36A6" w:rsidRPr="00DE36A6">
        <w:t>the time RLF occurs</w:t>
      </w:r>
      <w:r w:rsidR="00EA1505">
        <w:t xml:space="preserve"> </w:t>
      </w:r>
      <w:r w:rsidR="00FA7DDE">
        <w:t>in the RLF report</w:t>
      </w:r>
      <w:r w:rsidR="0064435F">
        <w:t>,</w:t>
      </w:r>
      <w:r w:rsidR="0064435F" w:rsidRPr="0064435F">
        <w:t xml:space="preserve"> </w:t>
      </w:r>
      <w:r w:rsidR="0064435F">
        <w:t xml:space="preserve">which provides additional information, i.e. the reference for the adjustment amount of </w:t>
      </w:r>
      <w:r w:rsidR="0064435F">
        <w:rPr>
          <w:i/>
          <w:iCs/>
        </w:rPr>
        <w:t>t1-Threshold</w:t>
      </w:r>
      <w:r w:rsidR="0064435F">
        <w:t xml:space="preserve"> if the failure is caused by improper T1 setting.</w:t>
      </w:r>
      <w:r w:rsidR="007158B3">
        <w:t xml:space="preserve"> </w:t>
      </w:r>
      <w:r w:rsidR="00EB4369">
        <w:t>Furthermore, reporting the relative time</w:t>
      </w:r>
      <w:r w:rsidR="00EB4369" w:rsidRPr="00EB4369">
        <w:t xml:space="preserve"> </w:t>
      </w:r>
      <w:r w:rsidR="00EB4369">
        <w:t xml:space="preserve">between </w:t>
      </w:r>
      <w:r w:rsidR="00DE36A6">
        <w:rPr>
          <w:i/>
          <w:iCs/>
        </w:rPr>
        <w:t>t1-Threshold</w:t>
      </w:r>
      <w:r w:rsidR="00EB4369">
        <w:t xml:space="preserve"> and </w:t>
      </w:r>
      <w:r w:rsidR="00DE36A6" w:rsidRPr="00DE36A6">
        <w:t>the time RLF occurs</w:t>
      </w:r>
      <w:r w:rsidR="00EB4369">
        <w:t xml:space="preserve"> has less overhead than the absolute time.</w:t>
      </w:r>
      <w:r w:rsidR="00DE36A6">
        <w:t xml:space="preserve"> We suggest to introduce </w:t>
      </w:r>
      <w:r w:rsidR="00DE36A6" w:rsidRPr="00DE36A6">
        <w:t xml:space="preserve">the relative time between </w:t>
      </w:r>
      <w:r w:rsidR="00DE36A6" w:rsidRPr="00DE36A6">
        <w:rPr>
          <w:i/>
        </w:rPr>
        <w:t>t1-Threshold</w:t>
      </w:r>
      <w:r w:rsidR="00DE36A6">
        <w:t xml:space="preserve"> </w:t>
      </w:r>
      <w:r w:rsidR="00DE36A6" w:rsidRPr="00DE36A6">
        <w:t>in the RLF report.</w:t>
      </w:r>
    </w:p>
    <w:p w:rsidR="00FA7DDE" w:rsidRDefault="00FA7DDE" w:rsidP="00421E5A">
      <w:pPr>
        <w:rPr>
          <w:b/>
          <w:bCs/>
        </w:rPr>
      </w:pPr>
      <w:bookmarkStart w:id="2" w:name="_Ref181130440"/>
      <w:r>
        <w:rPr>
          <w:b/>
          <w:bCs/>
        </w:rPr>
        <w:t xml:space="preserve">Proposal </w:t>
      </w:r>
      <w:r w:rsidR="009D2118">
        <w:rPr>
          <w:b/>
          <w:bCs/>
        </w:rPr>
        <w:t>1</w:t>
      </w:r>
      <w:r>
        <w:rPr>
          <w:b/>
          <w:bCs/>
        </w:rPr>
        <w:t xml:space="preserve">: </w:t>
      </w:r>
      <w:r w:rsidR="003C6891">
        <w:rPr>
          <w:b/>
          <w:bCs/>
        </w:rPr>
        <w:t xml:space="preserve">Regarding </w:t>
      </w:r>
      <w:r w:rsidR="003C6891" w:rsidRPr="003C6891">
        <w:rPr>
          <w:b/>
          <w:bCs/>
        </w:rPr>
        <w:t>MRO for CHO with a time-based trigger condition</w:t>
      </w:r>
      <w:r w:rsidR="003C6891">
        <w:rPr>
          <w:b/>
          <w:bCs/>
        </w:rPr>
        <w:t>,</w:t>
      </w:r>
      <w:r w:rsidR="003C6891" w:rsidRPr="003C6891">
        <w:rPr>
          <w:b/>
          <w:bCs/>
        </w:rPr>
        <w:t xml:space="preserve"> </w:t>
      </w:r>
      <w:r>
        <w:rPr>
          <w:b/>
          <w:bCs/>
        </w:rPr>
        <w:t xml:space="preserve">include </w:t>
      </w:r>
      <w:r w:rsidR="007158B3">
        <w:rPr>
          <w:b/>
          <w:bCs/>
        </w:rPr>
        <w:t xml:space="preserve">relative time between the time </w:t>
      </w:r>
      <w:r>
        <w:rPr>
          <w:b/>
          <w:bCs/>
        </w:rPr>
        <w:t xml:space="preserve">RLF occurs </w:t>
      </w:r>
      <w:r w:rsidR="007158B3">
        <w:rPr>
          <w:b/>
          <w:bCs/>
        </w:rPr>
        <w:t>and</w:t>
      </w:r>
      <w:r w:rsidR="007158B3" w:rsidRPr="007158B3">
        <w:t xml:space="preserve"> </w:t>
      </w:r>
      <w:r w:rsidR="007158B3" w:rsidRPr="007158B3">
        <w:rPr>
          <w:b/>
          <w:bCs/>
          <w:i/>
        </w:rPr>
        <w:t>t1-Threshold</w:t>
      </w:r>
      <w:r w:rsidR="007158B3">
        <w:rPr>
          <w:b/>
          <w:bCs/>
        </w:rPr>
        <w:t xml:space="preserve"> </w:t>
      </w:r>
      <w:r>
        <w:rPr>
          <w:b/>
          <w:bCs/>
        </w:rPr>
        <w:t>in the RLF re</w:t>
      </w:r>
      <w:r w:rsidR="007158B3">
        <w:rPr>
          <w:b/>
          <w:bCs/>
        </w:rPr>
        <w:t>port</w:t>
      </w:r>
      <w:r>
        <w:rPr>
          <w:b/>
          <w:bCs/>
        </w:rPr>
        <w:t>.</w:t>
      </w:r>
      <w:bookmarkEnd w:id="2"/>
    </w:p>
    <w:p w:rsidR="002F03B8" w:rsidRPr="002069C8" w:rsidRDefault="002069C8" w:rsidP="00947DFE">
      <w:r w:rsidRPr="002069C8">
        <w:t>As for</w:t>
      </w:r>
      <w:r>
        <w:t xml:space="preserve"> case 2 in case of </w:t>
      </w:r>
      <w:r w:rsidRPr="002069C8">
        <w:t>CHO with a time-based trigger condition</w:t>
      </w:r>
      <w:r>
        <w:t xml:space="preserve">, if the UEs report the absolute time when CHO execution failed or relative time </w:t>
      </w:r>
      <w:r w:rsidRPr="002069C8">
        <w:t xml:space="preserve">between CHO execution failure and </w:t>
      </w:r>
      <w:r w:rsidRPr="002069C8">
        <w:rPr>
          <w:i/>
        </w:rPr>
        <w:t>t1-Threshold</w:t>
      </w:r>
      <w:r>
        <w:t>, the network</w:t>
      </w:r>
      <w:r w:rsidRPr="002069C8">
        <w:t xml:space="preserve"> </w:t>
      </w:r>
      <w:r>
        <w:t xml:space="preserve">can figure out the adjustment amount of </w:t>
      </w:r>
      <w:r>
        <w:rPr>
          <w:i/>
          <w:iCs/>
        </w:rPr>
        <w:t>t1-Threshold</w:t>
      </w:r>
      <w:r>
        <w:t xml:space="preserve"> if the failure is caused by improper T1 setting. </w:t>
      </w:r>
      <w:r w:rsidR="00E3527F">
        <w:t xml:space="preserve">Considering the overhead, we suggest to introduce </w:t>
      </w:r>
      <w:r w:rsidR="00E3527F" w:rsidRPr="00DE36A6">
        <w:t>the relative time in the RLF report</w:t>
      </w:r>
      <w:r w:rsidR="00E3527F">
        <w:t>.</w:t>
      </w:r>
    </w:p>
    <w:p w:rsidR="00C31C5F" w:rsidRDefault="009D2118" w:rsidP="00421E5A">
      <w:pPr>
        <w:rPr>
          <w:b/>
          <w:bCs/>
        </w:rPr>
      </w:pPr>
      <w:r>
        <w:rPr>
          <w:b/>
          <w:lang w:val="en-US" w:eastAsia="zh-CN"/>
        </w:rPr>
        <w:t>Proposal 2</w:t>
      </w:r>
      <w:r w:rsidR="00734CCB">
        <w:rPr>
          <w:b/>
          <w:lang w:val="en-US" w:eastAsia="zh-CN"/>
        </w:rPr>
        <w:t>:</w:t>
      </w:r>
      <w:r w:rsidR="00C40490">
        <w:rPr>
          <w:b/>
          <w:lang w:val="en-US" w:eastAsia="zh-CN"/>
        </w:rPr>
        <w:t xml:space="preserve"> </w:t>
      </w:r>
      <w:r w:rsidR="002069C8">
        <w:rPr>
          <w:b/>
          <w:bCs/>
        </w:rPr>
        <w:t xml:space="preserve">Regarding </w:t>
      </w:r>
      <w:r w:rsidR="002069C8" w:rsidRPr="003C6891">
        <w:rPr>
          <w:b/>
          <w:bCs/>
        </w:rPr>
        <w:t>MRO for CHO with a time-based trigger condition</w:t>
      </w:r>
      <w:r w:rsidR="002069C8">
        <w:rPr>
          <w:b/>
          <w:bCs/>
        </w:rPr>
        <w:t>,</w:t>
      </w:r>
      <w:r w:rsidR="002069C8" w:rsidRPr="003C6891">
        <w:rPr>
          <w:b/>
          <w:bCs/>
        </w:rPr>
        <w:t xml:space="preserve"> </w:t>
      </w:r>
      <w:r>
        <w:rPr>
          <w:b/>
          <w:bCs/>
        </w:rPr>
        <w:t>include relative time between</w:t>
      </w:r>
      <w:r w:rsidR="002069C8" w:rsidRPr="002069C8">
        <w:t xml:space="preserve"> </w:t>
      </w:r>
      <w:r w:rsidR="002069C8">
        <w:rPr>
          <w:b/>
          <w:bCs/>
        </w:rPr>
        <w:t>CHO e</w:t>
      </w:r>
      <w:r w:rsidR="002069C8" w:rsidRPr="002069C8">
        <w:rPr>
          <w:b/>
          <w:bCs/>
        </w:rPr>
        <w:t>xecution</w:t>
      </w:r>
      <w:r w:rsidR="002069C8">
        <w:rPr>
          <w:b/>
          <w:bCs/>
        </w:rPr>
        <w:t xml:space="preserve"> failure and </w:t>
      </w:r>
      <w:r w:rsidR="002069C8" w:rsidRPr="007158B3">
        <w:rPr>
          <w:b/>
          <w:bCs/>
          <w:i/>
        </w:rPr>
        <w:t>t1-Threshold</w:t>
      </w:r>
      <w:r w:rsidR="002069C8">
        <w:rPr>
          <w:b/>
          <w:bCs/>
        </w:rPr>
        <w:t xml:space="preserve"> in the RLF report.</w:t>
      </w:r>
    </w:p>
    <w:p w:rsidR="00B613C0" w:rsidRPr="00077673" w:rsidRDefault="00077673" w:rsidP="00421E5A">
      <w:r w:rsidRPr="00077673">
        <w:t>RAN3</w:t>
      </w:r>
      <w:r>
        <w:t xml:space="preserve"> agreed to select one from option</w:t>
      </w:r>
      <w:r w:rsidR="00DF677C">
        <w:t xml:space="preserve"> </w:t>
      </w:r>
      <w:r>
        <w:t xml:space="preserve">1 and option 2 to resolve </w:t>
      </w:r>
      <w:r w:rsidRPr="00077673">
        <w:t>the accuracy and complexity issue of the network-based solution</w:t>
      </w:r>
      <w:r>
        <w:t xml:space="preserve"> for earth moving case</w:t>
      </w:r>
      <w:r w:rsidRPr="00077673">
        <w:t>.</w:t>
      </w:r>
      <w:r>
        <w:t xml:space="preserve"> </w:t>
      </w:r>
      <w:r w:rsidR="00FD5986">
        <w:t>From our point of view, for the</w:t>
      </w:r>
      <w:r w:rsidR="00DF677C">
        <w:t xml:space="preserve"> UE</w:t>
      </w:r>
      <w:r w:rsidR="00E06C35">
        <w:t xml:space="preserve"> configured with condE</w:t>
      </w:r>
      <w:r w:rsidR="00FD5986">
        <w:t>vent</w:t>
      </w:r>
      <w:r w:rsidR="00DF677C">
        <w:t xml:space="preserve"> D2 (i.e. </w:t>
      </w:r>
      <w:r w:rsidR="0007694D" w:rsidRPr="0007694D">
        <w:t>Distance between UE and the serving cell moving reference location is above threshold1 and distance between UE and a moving reference location is below threshold2</w:t>
      </w:r>
      <w:r w:rsidR="00DF677C">
        <w:t xml:space="preserve">), it is natural that the UE </w:t>
      </w:r>
      <w:r w:rsidR="00A547B8">
        <w:t>need to measure</w:t>
      </w:r>
      <w:r w:rsidR="00DF677C">
        <w:t xml:space="preserve"> the distance from the UE to moving reference location of serving cell and the distance from the UE </w:t>
      </w:r>
      <w:r w:rsidR="00DF677C" w:rsidRPr="00DF677C">
        <w:t>to moving reference location of candidate cell</w:t>
      </w:r>
      <w:r w:rsidR="00DF677C">
        <w:t xml:space="preserve">. Thus it is straightforward to include </w:t>
      </w:r>
      <w:r w:rsidR="00DF677C" w:rsidRPr="00DF677C">
        <w:t>measured distance from UE to moving reference location of serving cell, and measured distance from UE to moving reference location of candidate cell when RLF occurred in the RLF report</w:t>
      </w:r>
      <w:r w:rsidR="00DF677C">
        <w:t xml:space="preserve"> (i.e. option 2)</w:t>
      </w:r>
      <w:r w:rsidR="009F20DA">
        <w:t>, without additional effort</w:t>
      </w:r>
      <w:r w:rsidR="00DF677C" w:rsidRPr="00DF677C">
        <w:t>.</w:t>
      </w:r>
    </w:p>
    <w:p w:rsidR="00B613C0" w:rsidRDefault="00B613C0" w:rsidP="00421E5A">
      <w:pPr>
        <w:rPr>
          <w:b/>
          <w:bCs/>
        </w:rPr>
      </w:pPr>
      <w:bookmarkStart w:id="3" w:name="OLE_LINK1"/>
      <w:r>
        <w:rPr>
          <w:b/>
          <w:lang w:val="en-US" w:eastAsia="zh-CN"/>
        </w:rPr>
        <w:t>Proposal 3:</w:t>
      </w:r>
      <w:r w:rsidRPr="00B613C0">
        <w:rPr>
          <w:b/>
          <w:bCs/>
        </w:rPr>
        <w:t xml:space="preserve"> </w:t>
      </w:r>
      <w:r>
        <w:rPr>
          <w:b/>
          <w:bCs/>
        </w:rPr>
        <w:t>Regarding MRO for CHO with a location</w:t>
      </w:r>
      <w:r w:rsidRPr="003C6891">
        <w:rPr>
          <w:b/>
          <w:bCs/>
        </w:rPr>
        <w:t>-based trigger condition</w:t>
      </w:r>
      <w:r>
        <w:rPr>
          <w:b/>
          <w:bCs/>
        </w:rPr>
        <w:t>, include</w:t>
      </w:r>
      <w:r w:rsidRPr="00B613C0">
        <w:rPr>
          <w:b/>
          <w:bCs/>
        </w:rPr>
        <w:t xml:space="preserve"> measured distance from UE to moving reference location of serving cell, and measured distance from UE to moving refere</w:t>
      </w:r>
      <w:r>
        <w:rPr>
          <w:b/>
          <w:bCs/>
        </w:rPr>
        <w:t>nce location of candidate cell when RLF occurred</w:t>
      </w:r>
      <w:r w:rsidRPr="00B613C0">
        <w:rPr>
          <w:b/>
          <w:bCs/>
        </w:rPr>
        <w:t xml:space="preserve"> </w:t>
      </w:r>
      <w:r>
        <w:rPr>
          <w:b/>
          <w:bCs/>
        </w:rPr>
        <w:t>in the RLF report.</w:t>
      </w:r>
      <w:bookmarkEnd w:id="3"/>
    </w:p>
    <w:p w:rsidR="00CF2835" w:rsidRDefault="004B1061">
      <w:pPr>
        <w:pStyle w:val="1"/>
      </w:pPr>
      <w:r>
        <w:t>3</w:t>
      </w:r>
      <w:r>
        <w:tab/>
        <w:t>Conclusions</w:t>
      </w:r>
    </w:p>
    <w:bookmarkEnd w:id="0"/>
    <w:p w:rsidR="00CF2835" w:rsidRDefault="004B1061">
      <w:r>
        <w:t>Based on the discussion above, we have the following proposals.</w:t>
      </w:r>
    </w:p>
    <w:p w:rsidR="00580E22" w:rsidRDefault="003C6891" w:rsidP="00421E5A">
      <w:pPr>
        <w:rPr>
          <w:b/>
          <w:bCs/>
        </w:rPr>
      </w:pPr>
      <w:r>
        <w:rPr>
          <w:b/>
          <w:bCs/>
        </w:rPr>
        <w:t xml:space="preserve">Proposal 1: Regarding </w:t>
      </w:r>
      <w:r w:rsidRPr="003C6891">
        <w:rPr>
          <w:b/>
          <w:bCs/>
        </w:rPr>
        <w:t>MRO for CHO with a time-based trigger condition</w:t>
      </w:r>
      <w:r>
        <w:rPr>
          <w:b/>
          <w:bCs/>
        </w:rPr>
        <w:t>,</w:t>
      </w:r>
      <w:r w:rsidRPr="003C6891">
        <w:rPr>
          <w:b/>
          <w:bCs/>
        </w:rPr>
        <w:t xml:space="preserve"> </w:t>
      </w:r>
      <w:r>
        <w:rPr>
          <w:b/>
          <w:bCs/>
        </w:rPr>
        <w:t>include relative time between the time RLF occurs and</w:t>
      </w:r>
      <w:r w:rsidRPr="007158B3">
        <w:t xml:space="preserve"> </w:t>
      </w:r>
      <w:r w:rsidRPr="007158B3">
        <w:rPr>
          <w:b/>
          <w:bCs/>
          <w:i/>
        </w:rPr>
        <w:t>t1-Threshold</w:t>
      </w:r>
      <w:r>
        <w:rPr>
          <w:b/>
          <w:bCs/>
        </w:rPr>
        <w:t xml:space="preserve"> in the RLF report.</w:t>
      </w:r>
    </w:p>
    <w:p w:rsidR="0030214D" w:rsidRDefault="000E5086" w:rsidP="00327353">
      <w:pPr>
        <w:rPr>
          <w:b/>
          <w:bCs/>
        </w:rPr>
      </w:pPr>
      <w:r>
        <w:rPr>
          <w:b/>
          <w:lang w:val="en-US" w:eastAsia="zh-CN"/>
        </w:rPr>
        <w:t xml:space="preserve">Proposal 2: </w:t>
      </w:r>
      <w:r>
        <w:rPr>
          <w:b/>
          <w:bCs/>
        </w:rPr>
        <w:t xml:space="preserve">Regarding </w:t>
      </w:r>
      <w:r w:rsidRPr="003C6891">
        <w:rPr>
          <w:b/>
          <w:bCs/>
        </w:rPr>
        <w:t>MRO for CHO with a time-based trigger condition</w:t>
      </w:r>
      <w:r>
        <w:rPr>
          <w:b/>
          <w:bCs/>
        </w:rPr>
        <w:t>,</w:t>
      </w:r>
      <w:r w:rsidRPr="003C6891">
        <w:rPr>
          <w:b/>
          <w:bCs/>
        </w:rPr>
        <w:t xml:space="preserve"> </w:t>
      </w:r>
      <w:r>
        <w:rPr>
          <w:b/>
          <w:bCs/>
        </w:rPr>
        <w:t>include relative time between</w:t>
      </w:r>
      <w:r w:rsidRPr="002069C8">
        <w:t xml:space="preserve"> </w:t>
      </w:r>
      <w:r>
        <w:rPr>
          <w:b/>
          <w:bCs/>
        </w:rPr>
        <w:t>CHO e</w:t>
      </w:r>
      <w:r w:rsidRPr="002069C8">
        <w:rPr>
          <w:b/>
          <w:bCs/>
        </w:rPr>
        <w:t>xecution</w:t>
      </w:r>
      <w:r>
        <w:rPr>
          <w:b/>
          <w:bCs/>
        </w:rPr>
        <w:t xml:space="preserve"> failure and </w:t>
      </w:r>
      <w:r w:rsidRPr="007158B3">
        <w:rPr>
          <w:b/>
          <w:bCs/>
          <w:i/>
        </w:rPr>
        <w:t>t1-Threshold</w:t>
      </w:r>
      <w:r>
        <w:rPr>
          <w:b/>
          <w:bCs/>
        </w:rPr>
        <w:t xml:space="preserve"> in the RLF report.</w:t>
      </w:r>
    </w:p>
    <w:p w:rsidR="00B613C0" w:rsidRPr="00327353" w:rsidRDefault="00B613C0" w:rsidP="00327353">
      <w:pPr>
        <w:rPr>
          <w:b/>
          <w:bCs/>
        </w:rPr>
      </w:pPr>
      <w:r>
        <w:rPr>
          <w:b/>
          <w:lang w:val="en-US" w:eastAsia="zh-CN"/>
        </w:rPr>
        <w:lastRenderedPageBreak/>
        <w:t>Proposal 3:</w:t>
      </w:r>
      <w:r w:rsidRPr="00B613C0">
        <w:rPr>
          <w:b/>
          <w:bCs/>
        </w:rPr>
        <w:t xml:space="preserve"> </w:t>
      </w:r>
      <w:r>
        <w:rPr>
          <w:b/>
          <w:bCs/>
        </w:rPr>
        <w:t>Regarding MRO for CHO with a location</w:t>
      </w:r>
      <w:r w:rsidRPr="003C6891">
        <w:rPr>
          <w:b/>
          <w:bCs/>
        </w:rPr>
        <w:t>-based trigger condition</w:t>
      </w:r>
      <w:r>
        <w:rPr>
          <w:b/>
          <w:bCs/>
        </w:rPr>
        <w:t>, include</w:t>
      </w:r>
      <w:r w:rsidRPr="00B613C0">
        <w:rPr>
          <w:b/>
          <w:bCs/>
        </w:rPr>
        <w:t xml:space="preserve"> measured distance from UE to moving reference location of serving cell, and measured distance from UE to moving refere</w:t>
      </w:r>
      <w:r>
        <w:rPr>
          <w:b/>
          <w:bCs/>
        </w:rPr>
        <w:t>nce location of candidate cell when RLF occurred</w:t>
      </w:r>
      <w:r w:rsidRPr="00B613C0">
        <w:rPr>
          <w:b/>
          <w:bCs/>
        </w:rPr>
        <w:t xml:space="preserve"> </w:t>
      </w:r>
      <w:r>
        <w:rPr>
          <w:b/>
          <w:bCs/>
        </w:rPr>
        <w:t>in the RLF report.</w:t>
      </w:r>
    </w:p>
    <w:sectPr w:rsidR="00B613C0" w:rsidRPr="00327353">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05D" w:rsidRDefault="00D2205D">
      <w:pPr>
        <w:spacing w:after="0"/>
      </w:pPr>
      <w:r>
        <w:separator/>
      </w:r>
    </w:p>
  </w:endnote>
  <w:endnote w:type="continuationSeparator" w:id="0">
    <w:p w:rsidR="00D2205D" w:rsidRDefault="00D220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05D" w:rsidRDefault="00D2205D">
      <w:pPr>
        <w:spacing w:after="0"/>
      </w:pPr>
      <w:r>
        <w:separator/>
      </w:r>
    </w:p>
  </w:footnote>
  <w:footnote w:type="continuationSeparator" w:id="0">
    <w:p w:rsidR="00D2205D" w:rsidRDefault="00D220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3957C4"/>
    <w:multiLevelType w:val="multilevel"/>
    <w:tmpl w:val="6A3957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6"/>
  </w:num>
  <w:num w:numId="4">
    <w:abstractNumId w:val="9"/>
  </w:num>
  <w:num w:numId="5">
    <w:abstractNumId w:val="8"/>
  </w:num>
  <w:num w:numId="6">
    <w:abstractNumId w:val="13"/>
  </w:num>
  <w:num w:numId="7">
    <w:abstractNumId w:val="4"/>
  </w:num>
  <w:num w:numId="8">
    <w:abstractNumId w:val="7"/>
  </w:num>
  <w:num w:numId="9">
    <w:abstractNumId w:val="10"/>
  </w:num>
  <w:num w:numId="10">
    <w:abstractNumId w:val="2"/>
  </w:num>
  <w:num w:numId="11">
    <w:abstractNumId w:val="0"/>
  </w:num>
  <w:num w:numId="12">
    <w:abstractNumId w:val="3"/>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4"/>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1CF3"/>
    <w:rsid w:val="00062023"/>
    <w:rsid w:val="00062777"/>
    <w:rsid w:val="00063EA4"/>
    <w:rsid w:val="00064AC1"/>
    <w:rsid w:val="0006526C"/>
    <w:rsid w:val="00065323"/>
    <w:rsid w:val="000655A6"/>
    <w:rsid w:val="00066722"/>
    <w:rsid w:val="000705D4"/>
    <w:rsid w:val="00072D74"/>
    <w:rsid w:val="00074AD5"/>
    <w:rsid w:val="00074C79"/>
    <w:rsid w:val="00074F44"/>
    <w:rsid w:val="000754B3"/>
    <w:rsid w:val="00075541"/>
    <w:rsid w:val="00075EB4"/>
    <w:rsid w:val="000765BB"/>
    <w:rsid w:val="0007694D"/>
    <w:rsid w:val="000772AF"/>
    <w:rsid w:val="00077673"/>
    <w:rsid w:val="00080512"/>
    <w:rsid w:val="00083E10"/>
    <w:rsid w:val="0008446C"/>
    <w:rsid w:val="0008460C"/>
    <w:rsid w:val="00086BB0"/>
    <w:rsid w:val="00086CAA"/>
    <w:rsid w:val="000872A4"/>
    <w:rsid w:val="00090973"/>
    <w:rsid w:val="0009169F"/>
    <w:rsid w:val="00091E17"/>
    <w:rsid w:val="000951D7"/>
    <w:rsid w:val="00095852"/>
    <w:rsid w:val="00096BCF"/>
    <w:rsid w:val="00096D68"/>
    <w:rsid w:val="00097203"/>
    <w:rsid w:val="0009755D"/>
    <w:rsid w:val="000A074E"/>
    <w:rsid w:val="000A07D9"/>
    <w:rsid w:val="000A0EFF"/>
    <w:rsid w:val="000A0F37"/>
    <w:rsid w:val="000A35DC"/>
    <w:rsid w:val="000A35F9"/>
    <w:rsid w:val="000A365D"/>
    <w:rsid w:val="000A6474"/>
    <w:rsid w:val="000A7B22"/>
    <w:rsid w:val="000B2CFA"/>
    <w:rsid w:val="000B3126"/>
    <w:rsid w:val="000B3E5C"/>
    <w:rsid w:val="000B515F"/>
    <w:rsid w:val="000B5A21"/>
    <w:rsid w:val="000C0323"/>
    <w:rsid w:val="000C0C14"/>
    <w:rsid w:val="000C0D99"/>
    <w:rsid w:val="000C0F26"/>
    <w:rsid w:val="000C1B89"/>
    <w:rsid w:val="000C1D0C"/>
    <w:rsid w:val="000C247F"/>
    <w:rsid w:val="000C47C3"/>
    <w:rsid w:val="000C50DC"/>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5086"/>
    <w:rsid w:val="000E7975"/>
    <w:rsid w:val="000F3CE4"/>
    <w:rsid w:val="000F66DE"/>
    <w:rsid w:val="000F7392"/>
    <w:rsid w:val="000F74E0"/>
    <w:rsid w:val="00100071"/>
    <w:rsid w:val="00101A9C"/>
    <w:rsid w:val="00104A34"/>
    <w:rsid w:val="00104BC6"/>
    <w:rsid w:val="00104DDC"/>
    <w:rsid w:val="00105841"/>
    <w:rsid w:val="001061CB"/>
    <w:rsid w:val="00106466"/>
    <w:rsid w:val="00107255"/>
    <w:rsid w:val="00107A80"/>
    <w:rsid w:val="00107C38"/>
    <w:rsid w:val="00112C6C"/>
    <w:rsid w:val="00113473"/>
    <w:rsid w:val="0012064E"/>
    <w:rsid w:val="0012107E"/>
    <w:rsid w:val="00121A00"/>
    <w:rsid w:val="001220F8"/>
    <w:rsid w:val="00123E73"/>
    <w:rsid w:val="00125114"/>
    <w:rsid w:val="0012660B"/>
    <w:rsid w:val="00127E2E"/>
    <w:rsid w:val="00130131"/>
    <w:rsid w:val="00130174"/>
    <w:rsid w:val="00130CA5"/>
    <w:rsid w:val="00133525"/>
    <w:rsid w:val="0013608F"/>
    <w:rsid w:val="00136CEF"/>
    <w:rsid w:val="00136DFF"/>
    <w:rsid w:val="001378F3"/>
    <w:rsid w:val="001406BD"/>
    <w:rsid w:val="00141150"/>
    <w:rsid w:val="00141A12"/>
    <w:rsid w:val="001420A9"/>
    <w:rsid w:val="00142F51"/>
    <w:rsid w:val="001470DF"/>
    <w:rsid w:val="001501A2"/>
    <w:rsid w:val="00150B89"/>
    <w:rsid w:val="001548F0"/>
    <w:rsid w:val="00154EE9"/>
    <w:rsid w:val="00155A2F"/>
    <w:rsid w:val="00160F3D"/>
    <w:rsid w:val="001625F6"/>
    <w:rsid w:val="00162CCC"/>
    <w:rsid w:val="001644D8"/>
    <w:rsid w:val="00164D8E"/>
    <w:rsid w:val="00166747"/>
    <w:rsid w:val="00167278"/>
    <w:rsid w:val="001672B7"/>
    <w:rsid w:val="00167851"/>
    <w:rsid w:val="00167E38"/>
    <w:rsid w:val="0017007C"/>
    <w:rsid w:val="00171171"/>
    <w:rsid w:val="0017184A"/>
    <w:rsid w:val="00173F32"/>
    <w:rsid w:val="001742C9"/>
    <w:rsid w:val="0017433E"/>
    <w:rsid w:val="00175D4C"/>
    <w:rsid w:val="001773F6"/>
    <w:rsid w:val="001801D1"/>
    <w:rsid w:val="0018138E"/>
    <w:rsid w:val="001813CE"/>
    <w:rsid w:val="00182F34"/>
    <w:rsid w:val="0018306B"/>
    <w:rsid w:val="00184470"/>
    <w:rsid w:val="00184DA5"/>
    <w:rsid w:val="001866AB"/>
    <w:rsid w:val="001867F2"/>
    <w:rsid w:val="001868BB"/>
    <w:rsid w:val="00190883"/>
    <w:rsid w:val="00190991"/>
    <w:rsid w:val="00190B2B"/>
    <w:rsid w:val="00191E35"/>
    <w:rsid w:val="001963DF"/>
    <w:rsid w:val="001A2A47"/>
    <w:rsid w:val="001A4975"/>
    <w:rsid w:val="001A4AFF"/>
    <w:rsid w:val="001A4C42"/>
    <w:rsid w:val="001A52BE"/>
    <w:rsid w:val="001A7BB5"/>
    <w:rsid w:val="001B0409"/>
    <w:rsid w:val="001B0B9C"/>
    <w:rsid w:val="001B45B3"/>
    <w:rsid w:val="001B499D"/>
    <w:rsid w:val="001B541B"/>
    <w:rsid w:val="001C21C3"/>
    <w:rsid w:val="001C39BB"/>
    <w:rsid w:val="001C4F35"/>
    <w:rsid w:val="001C5A94"/>
    <w:rsid w:val="001D02C2"/>
    <w:rsid w:val="001D0BBF"/>
    <w:rsid w:val="001D1924"/>
    <w:rsid w:val="001D3175"/>
    <w:rsid w:val="001D3259"/>
    <w:rsid w:val="001D3AF3"/>
    <w:rsid w:val="001D6472"/>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3D5A"/>
    <w:rsid w:val="001F43F8"/>
    <w:rsid w:val="001F5100"/>
    <w:rsid w:val="001F5BBB"/>
    <w:rsid w:val="001F5DEE"/>
    <w:rsid w:val="001F63F7"/>
    <w:rsid w:val="001F64B4"/>
    <w:rsid w:val="001F74C1"/>
    <w:rsid w:val="001F75EF"/>
    <w:rsid w:val="002011EC"/>
    <w:rsid w:val="00201CB6"/>
    <w:rsid w:val="002027AD"/>
    <w:rsid w:val="00202FBF"/>
    <w:rsid w:val="00204579"/>
    <w:rsid w:val="00204A23"/>
    <w:rsid w:val="00204BE7"/>
    <w:rsid w:val="00204CE3"/>
    <w:rsid w:val="00205A11"/>
    <w:rsid w:val="002068D5"/>
    <w:rsid w:val="002069C8"/>
    <w:rsid w:val="00206C88"/>
    <w:rsid w:val="002112A9"/>
    <w:rsid w:val="00211EA3"/>
    <w:rsid w:val="0021226A"/>
    <w:rsid w:val="002122F7"/>
    <w:rsid w:val="00212C10"/>
    <w:rsid w:val="00215A7B"/>
    <w:rsid w:val="0021603F"/>
    <w:rsid w:val="00216136"/>
    <w:rsid w:val="0021670D"/>
    <w:rsid w:val="00216890"/>
    <w:rsid w:val="00216A57"/>
    <w:rsid w:val="00217CCA"/>
    <w:rsid w:val="0022451D"/>
    <w:rsid w:val="00224EAA"/>
    <w:rsid w:val="002347A2"/>
    <w:rsid w:val="002347D9"/>
    <w:rsid w:val="00235042"/>
    <w:rsid w:val="0023562C"/>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67AA0"/>
    <w:rsid w:val="00272BB2"/>
    <w:rsid w:val="00272D77"/>
    <w:rsid w:val="0027424B"/>
    <w:rsid w:val="00274577"/>
    <w:rsid w:val="002764DB"/>
    <w:rsid w:val="0027686D"/>
    <w:rsid w:val="00276EE4"/>
    <w:rsid w:val="002772D3"/>
    <w:rsid w:val="00277485"/>
    <w:rsid w:val="00277C3E"/>
    <w:rsid w:val="00280176"/>
    <w:rsid w:val="002807E5"/>
    <w:rsid w:val="00284BDD"/>
    <w:rsid w:val="00290359"/>
    <w:rsid w:val="00291194"/>
    <w:rsid w:val="0029528A"/>
    <w:rsid w:val="00295C21"/>
    <w:rsid w:val="002960BB"/>
    <w:rsid w:val="00297797"/>
    <w:rsid w:val="002A107B"/>
    <w:rsid w:val="002A144C"/>
    <w:rsid w:val="002A2B57"/>
    <w:rsid w:val="002A33CE"/>
    <w:rsid w:val="002A39BA"/>
    <w:rsid w:val="002A4B5A"/>
    <w:rsid w:val="002A557D"/>
    <w:rsid w:val="002A6314"/>
    <w:rsid w:val="002A722A"/>
    <w:rsid w:val="002A7982"/>
    <w:rsid w:val="002B1998"/>
    <w:rsid w:val="002B4280"/>
    <w:rsid w:val="002B4CE4"/>
    <w:rsid w:val="002B4D02"/>
    <w:rsid w:val="002B6339"/>
    <w:rsid w:val="002B767F"/>
    <w:rsid w:val="002B7E4A"/>
    <w:rsid w:val="002C196A"/>
    <w:rsid w:val="002C1A5B"/>
    <w:rsid w:val="002C2621"/>
    <w:rsid w:val="002C4246"/>
    <w:rsid w:val="002C77E0"/>
    <w:rsid w:val="002D0FA2"/>
    <w:rsid w:val="002D3254"/>
    <w:rsid w:val="002D3656"/>
    <w:rsid w:val="002D3886"/>
    <w:rsid w:val="002D5258"/>
    <w:rsid w:val="002D58B5"/>
    <w:rsid w:val="002D67C9"/>
    <w:rsid w:val="002E00EE"/>
    <w:rsid w:val="002E2170"/>
    <w:rsid w:val="002E495B"/>
    <w:rsid w:val="002E4CFA"/>
    <w:rsid w:val="002E4F20"/>
    <w:rsid w:val="002E68D9"/>
    <w:rsid w:val="002F03B8"/>
    <w:rsid w:val="002F0A45"/>
    <w:rsid w:val="002F1A8C"/>
    <w:rsid w:val="002F1CDF"/>
    <w:rsid w:val="002F2D34"/>
    <w:rsid w:val="002F3888"/>
    <w:rsid w:val="002F41D1"/>
    <w:rsid w:val="002F5C3B"/>
    <w:rsid w:val="0030120C"/>
    <w:rsid w:val="0030158E"/>
    <w:rsid w:val="00301A21"/>
    <w:rsid w:val="00301D4A"/>
    <w:rsid w:val="00301D9E"/>
    <w:rsid w:val="0030214D"/>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0C33"/>
    <w:rsid w:val="0032115F"/>
    <w:rsid w:val="00321F13"/>
    <w:rsid w:val="00322335"/>
    <w:rsid w:val="0032518D"/>
    <w:rsid w:val="003261E8"/>
    <w:rsid w:val="00326B1A"/>
    <w:rsid w:val="00327353"/>
    <w:rsid w:val="0032754B"/>
    <w:rsid w:val="00330721"/>
    <w:rsid w:val="00331875"/>
    <w:rsid w:val="00331E92"/>
    <w:rsid w:val="003323FE"/>
    <w:rsid w:val="00333B16"/>
    <w:rsid w:val="003343B1"/>
    <w:rsid w:val="00335C25"/>
    <w:rsid w:val="00335F92"/>
    <w:rsid w:val="00336AAD"/>
    <w:rsid w:val="0033714E"/>
    <w:rsid w:val="0033767D"/>
    <w:rsid w:val="00337993"/>
    <w:rsid w:val="00340295"/>
    <w:rsid w:val="003407FF"/>
    <w:rsid w:val="00341769"/>
    <w:rsid w:val="003448DD"/>
    <w:rsid w:val="0034537F"/>
    <w:rsid w:val="00346EA4"/>
    <w:rsid w:val="003477B2"/>
    <w:rsid w:val="003501FB"/>
    <w:rsid w:val="00350503"/>
    <w:rsid w:val="003511B1"/>
    <w:rsid w:val="00351AE0"/>
    <w:rsid w:val="0035462D"/>
    <w:rsid w:val="00354753"/>
    <w:rsid w:val="00360B27"/>
    <w:rsid w:val="003614E4"/>
    <w:rsid w:val="00362B28"/>
    <w:rsid w:val="003644A2"/>
    <w:rsid w:val="00364716"/>
    <w:rsid w:val="00365A38"/>
    <w:rsid w:val="003661D6"/>
    <w:rsid w:val="003709FB"/>
    <w:rsid w:val="00372C8F"/>
    <w:rsid w:val="003735EB"/>
    <w:rsid w:val="0037453D"/>
    <w:rsid w:val="003765B8"/>
    <w:rsid w:val="00380E2B"/>
    <w:rsid w:val="0038169C"/>
    <w:rsid w:val="00382D57"/>
    <w:rsid w:val="00390261"/>
    <w:rsid w:val="00390311"/>
    <w:rsid w:val="00393E6F"/>
    <w:rsid w:val="00394666"/>
    <w:rsid w:val="00394931"/>
    <w:rsid w:val="003950B1"/>
    <w:rsid w:val="003951F7"/>
    <w:rsid w:val="003A0483"/>
    <w:rsid w:val="003A073D"/>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49B"/>
    <w:rsid w:val="003B6758"/>
    <w:rsid w:val="003B6D40"/>
    <w:rsid w:val="003C0109"/>
    <w:rsid w:val="003C10CE"/>
    <w:rsid w:val="003C14CC"/>
    <w:rsid w:val="003C153F"/>
    <w:rsid w:val="003C1C9A"/>
    <w:rsid w:val="003C2121"/>
    <w:rsid w:val="003C3971"/>
    <w:rsid w:val="003C3C16"/>
    <w:rsid w:val="003C42FA"/>
    <w:rsid w:val="003C508B"/>
    <w:rsid w:val="003C564B"/>
    <w:rsid w:val="003C58F2"/>
    <w:rsid w:val="003C6891"/>
    <w:rsid w:val="003D1BF9"/>
    <w:rsid w:val="003D1FE2"/>
    <w:rsid w:val="003D288F"/>
    <w:rsid w:val="003D36E3"/>
    <w:rsid w:val="003D385F"/>
    <w:rsid w:val="003D5075"/>
    <w:rsid w:val="003D7520"/>
    <w:rsid w:val="003D7AA8"/>
    <w:rsid w:val="003E08F4"/>
    <w:rsid w:val="003E106B"/>
    <w:rsid w:val="003E2949"/>
    <w:rsid w:val="003E29B5"/>
    <w:rsid w:val="003E2B00"/>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A9"/>
    <w:rsid w:val="004155F3"/>
    <w:rsid w:val="00415715"/>
    <w:rsid w:val="00416984"/>
    <w:rsid w:val="004210C4"/>
    <w:rsid w:val="00421203"/>
    <w:rsid w:val="00421E5A"/>
    <w:rsid w:val="00422118"/>
    <w:rsid w:val="00423334"/>
    <w:rsid w:val="0042353E"/>
    <w:rsid w:val="00423969"/>
    <w:rsid w:val="00424621"/>
    <w:rsid w:val="00424BF2"/>
    <w:rsid w:val="004345EC"/>
    <w:rsid w:val="00434D3E"/>
    <w:rsid w:val="00434DCA"/>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379C"/>
    <w:rsid w:val="00473EB0"/>
    <w:rsid w:val="00474BAE"/>
    <w:rsid w:val="00474C6E"/>
    <w:rsid w:val="00476628"/>
    <w:rsid w:val="004769F2"/>
    <w:rsid w:val="00476A98"/>
    <w:rsid w:val="00476CE3"/>
    <w:rsid w:val="0047780F"/>
    <w:rsid w:val="0048173C"/>
    <w:rsid w:val="004826A9"/>
    <w:rsid w:val="004853C8"/>
    <w:rsid w:val="00485ECF"/>
    <w:rsid w:val="0048614B"/>
    <w:rsid w:val="00490FAE"/>
    <w:rsid w:val="004921AD"/>
    <w:rsid w:val="00493055"/>
    <w:rsid w:val="00493870"/>
    <w:rsid w:val="0049667D"/>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059A"/>
    <w:rsid w:val="004C10A9"/>
    <w:rsid w:val="004C12CF"/>
    <w:rsid w:val="004C1601"/>
    <w:rsid w:val="004C3CD2"/>
    <w:rsid w:val="004C402A"/>
    <w:rsid w:val="004C5FC4"/>
    <w:rsid w:val="004C6D96"/>
    <w:rsid w:val="004C6FE6"/>
    <w:rsid w:val="004D066A"/>
    <w:rsid w:val="004D0D5E"/>
    <w:rsid w:val="004D1131"/>
    <w:rsid w:val="004D1E68"/>
    <w:rsid w:val="004D1F91"/>
    <w:rsid w:val="004D3098"/>
    <w:rsid w:val="004D3578"/>
    <w:rsid w:val="004D36F2"/>
    <w:rsid w:val="004D609C"/>
    <w:rsid w:val="004D6645"/>
    <w:rsid w:val="004D674A"/>
    <w:rsid w:val="004D6DA4"/>
    <w:rsid w:val="004E1CF1"/>
    <w:rsid w:val="004E213A"/>
    <w:rsid w:val="004E2C00"/>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2260"/>
    <w:rsid w:val="0050255A"/>
    <w:rsid w:val="00503CBF"/>
    <w:rsid w:val="00504E89"/>
    <w:rsid w:val="00506D28"/>
    <w:rsid w:val="005078E4"/>
    <w:rsid w:val="005101E2"/>
    <w:rsid w:val="005128A8"/>
    <w:rsid w:val="005131C0"/>
    <w:rsid w:val="0051323A"/>
    <w:rsid w:val="0051373B"/>
    <w:rsid w:val="00513FA4"/>
    <w:rsid w:val="005142DB"/>
    <w:rsid w:val="005143D3"/>
    <w:rsid w:val="0051518C"/>
    <w:rsid w:val="00515EFB"/>
    <w:rsid w:val="00516B12"/>
    <w:rsid w:val="00516CC2"/>
    <w:rsid w:val="0051713E"/>
    <w:rsid w:val="0051769E"/>
    <w:rsid w:val="00517CEF"/>
    <w:rsid w:val="00517EAA"/>
    <w:rsid w:val="00520CDC"/>
    <w:rsid w:val="00520E57"/>
    <w:rsid w:val="005214DC"/>
    <w:rsid w:val="00522E91"/>
    <w:rsid w:val="00524116"/>
    <w:rsid w:val="005245EB"/>
    <w:rsid w:val="00530791"/>
    <w:rsid w:val="00530846"/>
    <w:rsid w:val="0053388B"/>
    <w:rsid w:val="00535773"/>
    <w:rsid w:val="00535DB3"/>
    <w:rsid w:val="00536F64"/>
    <w:rsid w:val="00543E52"/>
    <w:rsid w:val="00543E6C"/>
    <w:rsid w:val="00543E79"/>
    <w:rsid w:val="005457EB"/>
    <w:rsid w:val="00547189"/>
    <w:rsid w:val="00547F43"/>
    <w:rsid w:val="00551CBE"/>
    <w:rsid w:val="00551D8C"/>
    <w:rsid w:val="00552958"/>
    <w:rsid w:val="00552A48"/>
    <w:rsid w:val="00553C76"/>
    <w:rsid w:val="00555CA9"/>
    <w:rsid w:val="00556596"/>
    <w:rsid w:val="00560154"/>
    <w:rsid w:val="00560913"/>
    <w:rsid w:val="00562B5D"/>
    <w:rsid w:val="00562CE3"/>
    <w:rsid w:val="00563819"/>
    <w:rsid w:val="0056440E"/>
    <w:rsid w:val="005648BB"/>
    <w:rsid w:val="00565087"/>
    <w:rsid w:val="005656C8"/>
    <w:rsid w:val="00565A5E"/>
    <w:rsid w:val="00566F79"/>
    <w:rsid w:val="0057234C"/>
    <w:rsid w:val="00572E14"/>
    <w:rsid w:val="00573414"/>
    <w:rsid w:val="005739AE"/>
    <w:rsid w:val="00574642"/>
    <w:rsid w:val="005755DA"/>
    <w:rsid w:val="00575751"/>
    <w:rsid w:val="005765AB"/>
    <w:rsid w:val="005775EA"/>
    <w:rsid w:val="00577F1E"/>
    <w:rsid w:val="00577F4F"/>
    <w:rsid w:val="00580E22"/>
    <w:rsid w:val="0058167F"/>
    <w:rsid w:val="00581C40"/>
    <w:rsid w:val="00583ADE"/>
    <w:rsid w:val="00584261"/>
    <w:rsid w:val="00584279"/>
    <w:rsid w:val="005855A7"/>
    <w:rsid w:val="005908BF"/>
    <w:rsid w:val="00591D9B"/>
    <w:rsid w:val="005947EF"/>
    <w:rsid w:val="00594D22"/>
    <w:rsid w:val="005956BE"/>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0F60"/>
    <w:rsid w:val="005B3706"/>
    <w:rsid w:val="005B3B5F"/>
    <w:rsid w:val="005B4651"/>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6704"/>
    <w:rsid w:val="0061710F"/>
    <w:rsid w:val="00620FD5"/>
    <w:rsid w:val="006212B5"/>
    <w:rsid w:val="00623865"/>
    <w:rsid w:val="006246A7"/>
    <w:rsid w:val="00625174"/>
    <w:rsid w:val="0062595A"/>
    <w:rsid w:val="00626C81"/>
    <w:rsid w:val="00627C37"/>
    <w:rsid w:val="00630BC0"/>
    <w:rsid w:val="00632742"/>
    <w:rsid w:val="0063543D"/>
    <w:rsid w:val="0063620A"/>
    <w:rsid w:val="00636AE4"/>
    <w:rsid w:val="0064002F"/>
    <w:rsid w:val="00642197"/>
    <w:rsid w:val="00642550"/>
    <w:rsid w:val="0064435F"/>
    <w:rsid w:val="00647114"/>
    <w:rsid w:val="006500C0"/>
    <w:rsid w:val="0065021E"/>
    <w:rsid w:val="00650595"/>
    <w:rsid w:val="00650B57"/>
    <w:rsid w:val="00650E34"/>
    <w:rsid w:val="00654E0E"/>
    <w:rsid w:val="0065553A"/>
    <w:rsid w:val="006555C1"/>
    <w:rsid w:val="00655F38"/>
    <w:rsid w:val="006575F6"/>
    <w:rsid w:val="006604E5"/>
    <w:rsid w:val="00662E12"/>
    <w:rsid w:val="00664B1A"/>
    <w:rsid w:val="00665E85"/>
    <w:rsid w:val="00666301"/>
    <w:rsid w:val="006670CF"/>
    <w:rsid w:val="00667368"/>
    <w:rsid w:val="00672F7C"/>
    <w:rsid w:val="0067376E"/>
    <w:rsid w:val="00676AA0"/>
    <w:rsid w:val="00676E3E"/>
    <w:rsid w:val="00684BE3"/>
    <w:rsid w:val="006850E2"/>
    <w:rsid w:val="00685B52"/>
    <w:rsid w:val="00685B59"/>
    <w:rsid w:val="0068720A"/>
    <w:rsid w:val="0069006E"/>
    <w:rsid w:val="006915D0"/>
    <w:rsid w:val="00691A37"/>
    <w:rsid w:val="00692656"/>
    <w:rsid w:val="00692CC7"/>
    <w:rsid w:val="006933CB"/>
    <w:rsid w:val="00693FD4"/>
    <w:rsid w:val="006951E3"/>
    <w:rsid w:val="00695B88"/>
    <w:rsid w:val="00697FB0"/>
    <w:rsid w:val="006A04FB"/>
    <w:rsid w:val="006A0F1E"/>
    <w:rsid w:val="006A2A85"/>
    <w:rsid w:val="006A323F"/>
    <w:rsid w:val="006A4045"/>
    <w:rsid w:val="006A4135"/>
    <w:rsid w:val="006A45C7"/>
    <w:rsid w:val="006A4A6F"/>
    <w:rsid w:val="006A4AE2"/>
    <w:rsid w:val="006A4DB2"/>
    <w:rsid w:val="006A7955"/>
    <w:rsid w:val="006A7B74"/>
    <w:rsid w:val="006B0443"/>
    <w:rsid w:val="006B1621"/>
    <w:rsid w:val="006B30D0"/>
    <w:rsid w:val="006B44E2"/>
    <w:rsid w:val="006B5883"/>
    <w:rsid w:val="006B5F15"/>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0EA4"/>
    <w:rsid w:val="006D28F0"/>
    <w:rsid w:val="006D303A"/>
    <w:rsid w:val="006D3F16"/>
    <w:rsid w:val="006D4D87"/>
    <w:rsid w:val="006D6366"/>
    <w:rsid w:val="006D7FBF"/>
    <w:rsid w:val="006E02CB"/>
    <w:rsid w:val="006E1642"/>
    <w:rsid w:val="006E290D"/>
    <w:rsid w:val="006E4170"/>
    <w:rsid w:val="006E434B"/>
    <w:rsid w:val="006E56C5"/>
    <w:rsid w:val="006E5C86"/>
    <w:rsid w:val="006E5D4D"/>
    <w:rsid w:val="006E5F06"/>
    <w:rsid w:val="006E6573"/>
    <w:rsid w:val="006F055A"/>
    <w:rsid w:val="006F0E8D"/>
    <w:rsid w:val="006F2BEB"/>
    <w:rsid w:val="006F2DF4"/>
    <w:rsid w:val="006F478F"/>
    <w:rsid w:val="006F67E5"/>
    <w:rsid w:val="006F729C"/>
    <w:rsid w:val="0070272D"/>
    <w:rsid w:val="00702CE9"/>
    <w:rsid w:val="0070316F"/>
    <w:rsid w:val="00703AB4"/>
    <w:rsid w:val="00704674"/>
    <w:rsid w:val="00704A6F"/>
    <w:rsid w:val="00707060"/>
    <w:rsid w:val="00707124"/>
    <w:rsid w:val="00707F41"/>
    <w:rsid w:val="007126DA"/>
    <w:rsid w:val="00713616"/>
    <w:rsid w:val="00713C44"/>
    <w:rsid w:val="0071541C"/>
    <w:rsid w:val="007158B3"/>
    <w:rsid w:val="00715F10"/>
    <w:rsid w:val="0072296E"/>
    <w:rsid w:val="0072534C"/>
    <w:rsid w:val="007253FA"/>
    <w:rsid w:val="007260C7"/>
    <w:rsid w:val="00727F95"/>
    <w:rsid w:val="0073020B"/>
    <w:rsid w:val="00730341"/>
    <w:rsid w:val="00730618"/>
    <w:rsid w:val="007311D9"/>
    <w:rsid w:val="00732398"/>
    <w:rsid w:val="007331AE"/>
    <w:rsid w:val="00733C24"/>
    <w:rsid w:val="00733F20"/>
    <w:rsid w:val="00734A5B"/>
    <w:rsid w:val="00734CCB"/>
    <w:rsid w:val="007353A0"/>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125"/>
    <w:rsid w:val="00766C3D"/>
    <w:rsid w:val="007713D4"/>
    <w:rsid w:val="00771833"/>
    <w:rsid w:val="00774DA4"/>
    <w:rsid w:val="00774EA1"/>
    <w:rsid w:val="00775532"/>
    <w:rsid w:val="00776039"/>
    <w:rsid w:val="00777176"/>
    <w:rsid w:val="00777D67"/>
    <w:rsid w:val="00781027"/>
    <w:rsid w:val="00781754"/>
    <w:rsid w:val="00781F0F"/>
    <w:rsid w:val="00782BE5"/>
    <w:rsid w:val="0078318F"/>
    <w:rsid w:val="00790AA9"/>
    <w:rsid w:val="00791558"/>
    <w:rsid w:val="0079253A"/>
    <w:rsid w:val="00792810"/>
    <w:rsid w:val="00792D5E"/>
    <w:rsid w:val="00795736"/>
    <w:rsid w:val="00795F5A"/>
    <w:rsid w:val="00796193"/>
    <w:rsid w:val="00797086"/>
    <w:rsid w:val="007A387E"/>
    <w:rsid w:val="007A5C70"/>
    <w:rsid w:val="007A6140"/>
    <w:rsid w:val="007A6ED6"/>
    <w:rsid w:val="007A779B"/>
    <w:rsid w:val="007B0199"/>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590"/>
    <w:rsid w:val="007E4731"/>
    <w:rsid w:val="007E4787"/>
    <w:rsid w:val="007E53B4"/>
    <w:rsid w:val="007E5DDC"/>
    <w:rsid w:val="007E61B8"/>
    <w:rsid w:val="007F04BF"/>
    <w:rsid w:val="007F0F4A"/>
    <w:rsid w:val="007F1EDD"/>
    <w:rsid w:val="007F20EB"/>
    <w:rsid w:val="007F579F"/>
    <w:rsid w:val="007F7800"/>
    <w:rsid w:val="00800098"/>
    <w:rsid w:val="00800212"/>
    <w:rsid w:val="008028A4"/>
    <w:rsid w:val="00803196"/>
    <w:rsid w:val="008033BC"/>
    <w:rsid w:val="00803CA6"/>
    <w:rsid w:val="00804119"/>
    <w:rsid w:val="008066B5"/>
    <w:rsid w:val="00806C56"/>
    <w:rsid w:val="008070BA"/>
    <w:rsid w:val="0081122F"/>
    <w:rsid w:val="00814224"/>
    <w:rsid w:val="0081484C"/>
    <w:rsid w:val="008160B1"/>
    <w:rsid w:val="00816E7B"/>
    <w:rsid w:val="00817870"/>
    <w:rsid w:val="00820AEC"/>
    <w:rsid w:val="00820B25"/>
    <w:rsid w:val="00820FA9"/>
    <w:rsid w:val="00821E31"/>
    <w:rsid w:val="00824386"/>
    <w:rsid w:val="00830747"/>
    <w:rsid w:val="00831255"/>
    <w:rsid w:val="00831980"/>
    <w:rsid w:val="00831AC2"/>
    <w:rsid w:val="00831DF9"/>
    <w:rsid w:val="00832652"/>
    <w:rsid w:val="00835EC2"/>
    <w:rsid w:val="00835F9B"/>
    <w:rsid w:val="0083634A"/>
    <w:rsid w:val="008377A2"/>
    <w:rsid w:val="00841AD4"/>
    <w:rsid w:val="008426AA"/>
    <w:rsid w:val="00843B59"/>
    <w:rsid w:val="00846F18"/>
    <w:rsid w:val="0084726E"/>
    <w:rsid w:val="00850939"/>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2E71"/>
    <w:rsid w:val="008730C8"/>
    <w:rsid w:val="008736FF"/>
    <w:rsid w:val="008748C3"/>
    <w:rsid w:val="008768CA"/>
    <w:rsid w:val="00876A1C"/>
    <w:rsid w:val="008776B8"/>
    <w:rsid w:val="0088129C"/>
    <w:rsid w:val="00882458"/>
    <w:rsid w:val="008829ED"/>
    <w:rsid w:val="0088356C"/>
    <w:rsid w:val="00885E96"/>
    <w:rsid w:val="0089268D"/>
    <w:rsid w:val="00892FAF"/>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1523"/>
    <w:rsid w:val="008C2908"/>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0D2A"/>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3FA"/>
    <w:rsid w:val="00914CA5"/>
    <w:rsid w:val="00914DA8"/>
    <w:rsid w:val="00915EBF"/>
    <w:rsid w:val="00917381"/>
    <w:rsid w:val="00917CCB"/>
    <w:rsid w:val="00923AFD"/>
    <w:rsid w:val="00924D2C"/>
    <w:rsid w:val="00924FBD"/>
    <w:rsid w:val="00925442"/>
    <w:rsid w:val="00926611"/>
    <w:rsid w:val="00927E4B"/>
    <w:rsid w:val="00930D34"/>
    <w:rsid w:val="00932699"/>
    <w:rsid w:val="009332B0"/>
    <w:rsid w:val="00935278"/>
    <w:rsid w:val="0094219E"/>
    <w:rsid w:val="00942A16"/>
    <w:rsid w:val="00942EC2"/>
    <w:rsid w:val="0094310B"/>
    <w:rsid w:val="009435F6"/>
    <w:rsid w:val="00943C83"/>
    <w:rsid w:val="00943F5D"/>
    <w:rsid w:val="00946D30"/>
    <w:rsid w:val="0094707A"/>
    <w:rsid w:val="00947AEA"/>
    <w:rsid w:val="00947DFE"/>
    <w:rsid w:val="0095033E"/>
    <w:rsid w:val="009532BB"/>
    <w:rsid w:val="00953EF0"/>
    <w:rsid w:val="009557F3"/>
    <w:rsid w:val="009575A3"/>
    <w:rsid w:val="00960814"/>
    <w:rsid w:val="00961ADE"/>
    <w:rsid w:val="0096232F"/>
    <w:rsid w:val="009634D1"/>
    <w:rsid w:val="00964235"/>
    <w:rsid w:val="00965C2D"/>
    <w:rsid w:val="009660B8"/>
    <w:rsid w:val="0096621D"/>
    <w:rsid w:val="0096691B"/>
    <w:rsid w:val="009670C8"/>
    <w:rsid w:val="0096775C"/>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811"/>
    <w:rsid w:val="00990F9E"/>
    <w:rsid w:val="0099166E"/>
    <w:rsid w:val="00991CCE"/>
    <w:rsid w:val="00992E47"/>
    <w:rsid w:val="00995578"/>
    <w:rsid w:val="00997281"/>
    <w:rsid w:val="00997C9A"/>
    <w:rsid w:val="009A0162"/>
    <w:rsid w:val="009A33D3"/>
    <w:rsid w:val="009A44C4"/>
    <w:rsid w:val="009A4BE8"/>
    <w:rsid w:val="009A4DB7"/>
    <w:rsid w:val="009A7538"/>
    <w:rsid w:val="009A763F"/>
    <w:rsid w:val="009B00B4"/>
    <w:rsid w:val="009B0A9F"/>
    <w:rsid w:val="009B16B5"/>
    <w:rsid w:val="009B1980"/>
    <w:rsid w:val="009B2828"/>
    <w:rsid w:val="009B3D75"/>
    <w:rsid w:val="009B53A1"/>
    <w:rsid w:val="009B5572"/>
    <w:rsid w:val="009C1E9B"/>
    <w:rsid w:val="009C3253"/>
    <w:rsid w:val="009C4AEE"/>
    <w:rsid w:val="009C6946"/>
    <w:rsid w:val="009C72E6"/>
    <w:rsid w:val="009D0008"/>
    <w:rsid w:val="009D05FB"/>
    <w:rsid w:val="009D0DE8"/>
    <w:rsid w:val="009D2118"/>
    <w:rsid w:val="009D3330"/>
    <w:rsid w:val="009D42FA"/>
    <w:rsid w:val="009D53AE"/>
    <w:rsid w:val="009D61F9"/>
    <w:rsid w:val="009D7621"/>
    <w:rsid w:val="009D798C"/>
    <w:rsid w:val="009E01B5"/>
    <w:rsid w:val="009E0448"/>
    <w:rsid w:val="009E14D7"/>
    <w:rsid w:val="009E1D4D"/>
    <w:rsid w:val="009E3B37"/>
    <w:rsid w:val="009E3DF4"/>
    <w:rsid w:val="009E5E0C"/>
    <w:rsid w:val="009E6B92"/>
    <w:rsid w:val="009E7652"/>
    <w:rsid w:val="009E777F"/>
    <w:rsid w:val="009F20DA"/>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8F0"/>
    <w:rsid w:val="00A10EEA"/>
    <w:rsid w:val="00A10F02"/>
    <w:rsid w:val="00A110C7"/>
    <w:rsid w:val="00A11AE0"/>
    <w:rsid w:val="00A12A5E"/>
    <w:rsid w:val="00A12E7A"/>
    <w:rsid w:val="00A13BC0"/>
    <w:rsid w:val="00A14D4A"/>
    <w:rsid w:val="00A15EFF"/>
    <w:rsid w:val="00A164B4"/>
    <w:rsid w:val="00A16667"/>
    <w:rsid w:val="00A200B5"/>
    <w:rsid w:val="00A20C56"/>
    <w:rsid w:val="00A22268"/>
    <w:rsid w:val="00A22758"/>
    <w:rsid w:val="00A22ACC"/>
    <w:rsid w:val="00A22D5A"/>
    <w:rsid w:val="00A2339B"/>
    <w:rsid w:val="00A2395C"/>
    <w:rsid w:val="00A2397C"/>
    <w:rsid w:val="00A2426E"/>
    <w:rsid w:val="00A2587E"/>
    <w:rsid w:val="00A264BB"/>
    <w:rsid w:val="00A26956"/>
    <w:rsid w:val="00A27EB3"/>
    <w:rsid w:val="00A314A6"/>
    <w:rsid w:val="00A329E1"/>
    <w:rsid w:val="00A33813"/>
    <w:rsid w:val="00A348E8"/>
    <w:rsid w:val="00A353DC"/>
    <w:rsid w:val="00A36240"/>
    <w:rsid w:val="00A36C0D"/>
    <w:rsid w:val="00A36C80"/>
    <w:rsid w:val="00A40A2F"/>
    <w:rsid w:val="00A41046"/>
    <w:rsid w:val="00A410F5"/>
    <w:rsid w:val="00A41D29"/>
    <w:rsid w:val="00A423F4"/>
    <w:rsid w:val="00A424B5"/>
    <w:rsid w:val="00A425FC"/>
    <w:rsid w:val="00A429AA"/>
    <w:rsid w:val="00A43244"/>
    <w:rsid w:val="00A4357A"/>
    <w:rsid w:val="00A43FB9"/>
    <w:rsid w:val="00A45CE2"/>
    <w:rsid w:val="00A46B82"/>
    <w:rsid w:val="00A51EAF"/>
    <w:rsid w:val="00A526C1"/>
    <w:rsid w:val="00A53724"/>
    <w:rsid w:val="00A53769"/>
    <w:rsid w:val="00A545FF"/>
    <w:rsid w:val="00A547B8"/>
    <w:rsid w:val="00A5551A"/>
    <w:rsid w:val="00A558BE"/>
    <w:rsid w:val="00A600A7"/>
    <w:rsid w:val="00A61B9E"/>
    <w:rsid w:val="00A61F23"/>
    <w:rsid w:val="00A6297D"/>
    <w:rsid w:val="00A62E92"/>
    <w:rsid w:val="00A647E0"/>
    <w:rsid w:val="00A70A88"/>
    <w:rsid w:val="00A70E43"/>
    <w:rsid w:val="00A71A9C"/>
    <w:rsid w:val="00A73129"/>
    <w:rsid w:val="00A73BCE"/>
    <w:rsid w:val="00A73D51"/>
    <w:rsid w:val="00A74075"/>
    <w:rsid w:val="00A74370"/>
    <w:rsid w:val="00A7583D"/>
    <w:rsid w:val="00A75A83"/>
    <w:rsid w:val="00A80613"/>
    <w:rsid w:val="00A807DA"/>
    <w:rsid w:val="00A82346"/>
    <w:rsid w:val="00A84B5A"/>
    <w:rsid w:val="00A85288"/>
    <w:rsid w:val="00A85DBD"/>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4AE"/>
    <w:rsid w:val="00AB2615"/>
    <w:rsid w:val="00AB2CC4"/>
    <w:rsid w:val="00AB3C47"/>
    <w:rsid w:val="00AB408F"/>
    <w:rsid w:val="00AB57DF"/>
    <w:rsid w:val="00AC14DD"/>
    <w:rsid w:val="00AC1BED"/>
    <w:rsid w:val="00AC2EE3"/>
    <w:rsid w:val="00AC31A9"/>
    <w:rsid w:val="00AC4A0C"/>
    <w:rsid w:val="00AC55C1"/>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E785A"/>
    <w:rsid w:val="00AF2436"/>
    <w:rsid w:val="00AF2C5B"/>
    <w:rsid w:val="00B00A85"/>
    <w:rsid w:val="00B03B5E"/>
    <w:rsid w:val="00B06CBD"/>
    <w:rsid w:val="00B102B6"/>
    <w:rsid w:val="00B108F5"/>
    <w:rsid w:val="00B14792"/>
    <w:rsid w:val="00B15449"/>
    <w:rsid w:val="00B15FD8"/>
    <w:rsid w:val="00B2193E"/>
    <w:rsid w:val="00B2275A"/>
    <w:rsid w:val="00B23DD2"/>
    <w:rsid w:val="00B24EB2"/>
    <w:rsid w:val="00B25BE7"/>
    <w:rsid w:val="00B26081"/>
    <w:rsid w:val="00B2676F"/>
    <w:rsid w:val="00B270CF"/>
    <w:rsid w:val="00B27A39"/>
    <w:rsid w:val="00B30340"/>
    <w:rsid w:val="00B31B2D"/>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1379"/>
    <w:rsid w:val="00B55359"/>
    <w:rsid w:val="00B55D8C"/>
    <w:rsid w:val="00B56AB7"/>
    <w:rsid w:val="00B56BFD"/>
    <w:rsid w:val="00B56C50"/>
    <w:rsid w:val="00B57BEB"/>
    <w:rsid w:val="00B57E84"/>
    <w:rsid w:val="00B613C0"/>
    <w:rsid w:val="00B64F8E"/>
    <w:rsid w:val="00B6696B"/>
    <w:rsid w:val="00B7158C"/>
    <w:rsid w:val="00B71A81"/>
    <w:rsid w:val="00B71E6F"/>
    <w:rsid w:val="00B71F7C"/>
    <w:rsid w:val="00B720A6"/>
    <w:rsid w:val="00B7459A"/>
    <w:rsid w:val="00B74F9C"/>
    <w:rsid w:val="00B75039"/>
    <w:rsid w:val="00B75319"/>
    <w:rsid w:val="00B75F1A"/>
    <w:rsid w:val="00B80010"/>
    <w:rsid w:val="00B80F14"/>
    <w:rsid w:val="00B8102A"/>
    <w:rsid w:val="00B81729"/>
    <w:rsid w:val="00B8224F"/>
    <w:rsid w:val="00B82962"/>
    <w:rsid w:val="00B85C96"/>
    <w:rsid w:val="00B90DC1"/>
    <w:rsid w:val="00B9117E"/>
    <w:rsid w:val="00B93086"/>
    <w:rsid w:val="00B93472"/>
    <w:rsid w:val="00B93BE6"/>
    <w:rsid w:val="00B941BE"/>
    <w:rsid w:val="00B95553"/>
    <w:rsid w:val="00B978D4"/>
    <w:rsid w:val="00BA1574"/>
    <w:rsid w:val="00BA19ED"/>
    <w:rsid w:val="00BA2D43"/>
    <w:rsid w:val="00BA300B"/>
    <w:rsid w:val="00BA3212"/>
    <w:rsid w:val="00BA3D48"/>
    <w:rsid w:val="00BA45BF"/>
    <w:rsid w:val="00BA4B8D"/>
    <w:rsid w:val="00BA5ADB"/>
    <w:rsid w:val="00BA6B22"/>
    <w:rsid w:val="00BA738B"/>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1D1D"/>
    <w:rsid w:val="00BD205B"/>
    <w:rsid w:val="00BD243C"/>
    <w:rsid w:val="00BD2C09"/>
    <w:rsid w:val="00BD300D"/>
    <w:rsid w:val="00BD5F52"/>
    <w:rsid w:val="00BD6707"/>
    <w:rsid w:val="00BD796D"/>
    <w:rsid w:val="00BD7AB4"/>
    <w:rsid w:val="00BE00C8"/>
    <w:rsid w:val="00BE03B4"/>
    <w:rsid w:val="00BE14D4"/>
    <w:rsid w:val="00BE3255"/>
    <w:rsid w:val="00BE32BD"/>
    <w:rsid w:val="00BE4D89"/>
    <w:rsid w:val="00BE52DB"/>
    <w:rsid w:val="00BE739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BFC"/>
    <w:rsid w:val="00C05CA9"/>
    <w:rsid w:val="00C07ED7"/>
    <w:rsid w:val="00C07FD6"/>
    <w:rsid w:val="00C11D0C"/>
    <w:rsid w:val="00C12008"/>
    <w:rsid w:val="00C120EB"/>
    <w:rsid w:val="00C123F4"/>
    <w:rsid w:val="00C124E6"/>
    <w:rsid w:val="00C12E82"/>
    <w:rsid w:val="00C1306B"/>
    <w:rsid w:val="00C135FD"/>
    <w:rsid w:val="00C139A5"/>
    <w:rsid w:val="00C1496A"/>
    <w:rsid w:val="00C149EB"/>
    <w:rsid w:val="00C17F0F"/>
    <w:rsid w:val="00C207B3"/>
    <w:rsid w:val="00C20BE7"/>
    <w:rsid w:val="00C20C9A"/>
    <w:rsid w:val="00C218C6"/>
    <w:rsid w:val="00C21E56"/>
    <w:rsid w:val="00C2544A"/>
    <w:rsid w:val="00C25D10"/>
    <w:rsid w:val="00C25FCE"/>
    <w:rsid w:val="00C275D8"/>
    <w:rsid w:val="00C301E7"/>
    <w:rsid w:val="00C30AE6"/>
    <w:rsid w:val="00C3111D"/>
    <w:rsid w:val="00C31696"/>
    <w:rsid w:val="00C31C5F"/>
    <w:rsid w:val="00C32093"/>
    <w:rsid w:val="00C33079"/>
    <w:rsid w:val="00C348CF"/>
    <w:rsid w:val="00C34CE7"/>
    <w:rsid w:val="00C3507E"/>
    <w:rsid w:val="00C3516B"/>
    <w:rsid w:val="00C355DF"/>
    <w:rsid w:val="00C35660"/>
    <w:rsid w:val="00C35D04"/>
    <w:rsid w:val="00C35FD0"/>
    <w:rsid w:val="00C37BAD"/>
    <w:rsid w:val="00C40490"/>
    <w:rsid w:val="00C42E6C"/>
    <w:rsid w:val="00C42ED9"/>
    <w:rsid w:val="00C44D63"/>
    <w:rsid w:val="00C45231"/>
    <w:rsid w:val="00C452A6"/>
    <w:rsid w:val="00C4573E"/>
    <w:rsid w:val="00C467DA"/>
    <w:rsid w:val="00C47522"/>
    <w:rsid w:val="00C5160F"/>
    <w:rsid w:val="00C51BA5"/>
    <w:rsid w:val="00C536C7"/>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77267"/>
    <w:rsid w:val="00C77B13"/>
    <w:rsid w:val="00C80F1D"/>
    <w:rsid w:val="00C812DD"/>
    <w:rsid w:val="00C81EDD"/>
    <w:rsid w:val="00C832B0"/>
    <w:rsid w:val="00C8341F"/>
    <w:rsid w:val="00C862D8"/>
    <w:rsid w:val="00C8664D"/>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67DC"/>
    <w:rsid w:val="00CA7025"/>
    <w:rsid w:val="00CA79CD"/>
    <w:rsid w:val="00CA7ED6"/>
    <w:rsid w:val="00CB2C86"/>
    <w:rsid w:val="00CB34ED"/>
    <w:rsid w:val="00CB3DDA"/>
    <w:rsid w:val="00CB50CD"/>
    <w:rsid w:val="00CB517B"/>
    <w:rsid w:val="00CB731F"/>
    <w:rsid w:val="00CB7CF2"/>
    <w:rsid w:val="00CC0658"/>
    <w:rsid w:val="00CC080A"/>
    <w:rsid w:val="00CC41B1"/>
    <w:rsid w:val="00CC5DD6"/>
    <w:rsid w:val="00CC7516"/>
    <w:rsid w:val="00CC79C1"/>
    <w:rsid w:val="00CC7B2E"/>
    <w:rsid w:val="00CD0CD7"/>
    <w:rsid w:val="00CD1FC7"/>
    <w:rsid w:val="00CD2E84"/>
    <w:rsid w:val="00CD31A8"/>
    <w:rsid w:val="00CD347F"/>
    <w:rsid w:val="00CD3528"/>
    <w:rsid w:val="00CD35C7"/>
    <w:rsid w:val="00CD38F2"/>
    <w:rsid w:val="00CD4D85"/>
    <w:rsid w:val="00CD6049"/>
    <w:rsid w:val="00CD6AB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5F79"/>
    <w:rsid w:val="00CF6EF8"/>
    <w:rsid w:val="00CF7971"/>
    <w:rsid w:val="00CF7EE0"/>
    <w:rsid w:val="00D0150F"/>
    <w:rsid w:val="00D01AD8"/>
    <w:rsid w:val="00D02105"/>
    <w:rsid w:val="00D04C33"/>
    <w:rsid w:val="00D062EF"/>
    <w:rsid w:val="00D06C1F"/>
    <w:rsid w:val="00D07182"/>
    <w:rsid w:val="00D073D6"/>
    <w:rsid w:val="00D0787D"/>
    <w:rsid w:val="00D13606"/>
    <w:rsid w:val="00D13674"/>
    <w:rsid w:val="00D137E3"/>
    <w:rsid w:val="00D14359"/>
    <w:rsid w:val="00D14D21"/>
    <w:rsid w:val="00D168DF"/>
    <w:rsid w:val="00D171BC"/>
    <w:rsid w:val="00D20C47"/>
    <w:rsid w:val="00D211CB"/>
    <w:rsid w:val="00D212FB"/>
    <w:rsid w:val="00D2205D"/>
    <w:rsid w:val="00D23934"/>
    <w:rsid w:val="00D23EE2"/>
    <w:rsid w:val="00D25848"/>
    <w:rsid w:val="00D26579"/>
    <w:rsid w:val="00D309CC"/>
    <w:rsid w:val="00D31861"/>
    <w:rsid w:val="00D352E4"/>
    <w:rsid w:val="00D37A20"/>
    <w:rsid w:val="00D37D4E"/>
    <w:rsid w:val="00D40ED7"/>
    <w:rsid w:val="00D4150A"/>
    <w:rsid w:val="00D41DA8"/>
    <w:rsid w:val="00D41E50"/>
    <w:rsid w:val="00D426DE"/>
    <w:rsid w:val="00D4461B"/>
    <w:rsid w:val="00D45006"/>
    <w:rsid w:val="00D46431"/>
    <w:rsid w:val="00D5596F"/>
    <w:rsid w:val="00D568F7"/>
    <w:rsid w:val="00D56A52"/>
    <w:rsid w:val="00D57972"/>
    <w:rsid w:val="00D616F7"/>
    <w:rsid w:val="00D62AAC"/>
    <w:rsid w:val="00D64385"/>
    <w:rsid w:val="00D653B5"/>
    <w:rsid w:val="00D656EC"/>
    <w:rsid w:val="00D675A9"/>
    <w:rsid w:val="00D70392"/>
    <w:rsid w:val="00D71A6D"/>
    <w:rsid w:val="00D73809"/>
    <w:rsid w:val="00D738D6"/>
    <w:rsid w:val="00D73DA7"/>
    <w:rsid w:val="00D7458F"/>
    <w:rsid w:val="00D74AC1"/>
    <w:rsid w:val="00D74C32"/>
    <w:rsid w:val="00D7502D"/>
    <w:rsid w:val="00D755EB"/>
    <w:rsid w:val="00D75F67"/>
    <w:rsid w:val="00D76166"/>
    <w:rsid w:val="00D76D27"/>
    <w:rsid w:val="00D80434"/>
    <w:rsid w:val="00D84F98"/>
    <w:rsid w:val="00D86B44"/>
    <w:rsid w:val="00D87E00"/>
    <w:rsid w:val="00D9134D"/>
    <w:rsid w:val="00D926E9"/>
    <w:rsid w:val="00D932EA"/>
    <w:rsid w:val="00D9451E"/>
    <w:rsid w:val="00D94CD9"/>
    <w:rsid w:val="00D9676D"/>
    <w:rsid w:val="00D967F8"/>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1CAB"/>
    <w:rsid w:val="00DC210C"/>
    <w:rsid w:val="00DC309B"/>
    <w:rsid w:val="00DC40AB"/>
    <w:rsid w:val="00DC4DA2"/>
    <w:rsid w:val="00DC5E73"/>
    <w:rsid w:val="00DC5EB0"/>
    <w:rsid w:val="00DC62CE"/>
    <w:rsid w:val="00DC631C"/>
    <w:rsid w:val="00DC6805"/>
    <w:rsid w:val="00DD209B"/>
    <w:rsid w:val="00DD3B12"/>
    <w:rsid w:val="00DD446C"/>
    <w:rsid w:val="00DD4C17"/>
    <w:rsid w:val="00DD5B7B"/>
    <w:rsid w:val="00DD6234"/>
    <w:rsid w:val="00DD707F"/>
    <w:rsid w:val="00DE36A6"/>
    <w:rsid w:val="00DE5973"/>
    <w:rsid w:val="00DE6310"/>
    <w:rsid w:val="00DE67FE"/>
    <w:rsid w:val="00DE7112"/>
    <w:rsid w:val="00DE7A5B"/>
    <w:rsid w:val="00DF000A"/>
    <w:rsid w:val="00DF107F"/>
    <w:rsid w:val="00DF20D7"/>
    <w:rsid w:val="00DF2B1F"/>
    <w:rsid w:val="00DF3112"/>
    <w:rsid w:val="00DF343A"/>
    <w:rsid w:val="00DF362F"/>
    <w:rsid w:val="00DF434F"/>
    <w:rsid w:val="00DF43D9"/>
    <w:rsid w:val="00DF4C3F"/>
    <w:rsid w:val="00DF4D75"/>
    <w:rsid w:val="00DF5191"/>
    <w:rsid w:val="00DF6189"/>
    <w:rsid w:val="00DF62CD"/>
    <w:rsid w:val="00DF677C"/>
    <w:rsid w:val="00DF792A"/>
    <w:rsid w:val="00E003A3"/>
    <w:rsid w:val="00E010BC"/>
    <w:rsid w:val="00E01934"/>
    <w:rsid w:val="00E0213B"/>
    <w:rsid w:val="00E0309B"/>
    <w:rsid w:val="00E035BD"/>
    <w:rsid w:val="00E03A1D"/>
    <w:rsid w:val="00E03EBC"/>
    <w:rsid w:val="00E04EF0"/>
    <w:rsid w:val="00E0587C"/>
    <w:rsid w:val="00E06A68"/>
    <w:rsid w:val="00E06C35"/>
    <w:rsid w:val="00E10984"/>
    <w:rsid w:val="00E121FF"/>
    <w:rsid w:val="00E1328D"/>
    <w:rsid w:val="00E137E0"/>
    <w:rsid w:val="00E14F1D"/>
    <w:rsid w:val="00E15B4C"/>
    <w:rsid w:val="00E16509"/>
    <w:rsid w:val="00E16688"/>
    <w:rsid w:val="00E1713B"/>
    <w:rsid w:val="00E206C6"/>
    <w:rsid w:val="00E20951"/>
    <w:rsid w:val="00E214B7"/>
    <w:rsid w:val="00E21BBD"/>
    <w:rsid w:val="00E22BE0"/>
    <w:rsid w:val="00E24CF6"/>
    <w:rsid w:val="00E24E34"/>
    <w:rsid w:val="00E26708"/>
    <w:rsid w:val="00E30929"/>
    <w:rsid w:val="00E34ABF"/>
    <w:rsid w:val="00E350E4"/>
    <w:rsid w:val="00E3527F"/>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56EF3"/>
    <w:rsid w:val="00E60C86"/>
    <w:rsid w:val="00E61CD6"/>
    <w:rsid w:val="00E62B40"/>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383"/>
    <w:rsid w:val="00E80ABE"/>
    <w:rsid w:val="00E80CC7"/>
    <w:rsid w:val="00E8127C"/>
    <w:rsid w:val="00E822C7"/>
    <w:rsid w:val="00E8272B"/>
    <w:rsid w:val="00E82E6B"/>
    <w:rsid w:val="00E92019"/>
    <w:rsid w:val="00E95C1A"/>
    <w:rsid w:val="00EA11F2"/>
    <w:rsid w:val="00EA1505"/>
    <w:rsid w:val="00EA1665"/>
    <w:rsid w:val="00EA2640"/>
    <w:rsid w:val="00EA2C1F"/>
    <w:rsid w:val="00EA42DB"/>
    <w:rsid w:val="00EA4F8E"/>
    <w:rsid w:val="00EA5424"/>
    <w:rsid w:val="00EA6F9B"/>
    <w:rsid w:val="00EB1BD2"/>
    <w:rsid w:val="00EB369C"/>
    <w:rsid w:val="00EB4369"/>
    <w:rsid w:val="00EB4C63"/>
    <w:rsid w:val="00EB60CF"/>
    <w:rsid w:val="00EB7F76"/>
    <w:rsid w:val="00EC1B61"/>
    <w:rsid w:val="00EC2162"/>
    <w:rsid w:val="00EC27DD"/>
    <w:rsid w:val="00EC4852"/>
    <w:rsid w:val="00EC4A25"/>
    <w:rsid w:val="00EC4B89"/>
    <w:rsid w:val="00EC524A"/>
    <w:rsid w:val="00EC55C0"/>
    <w:rsid w:val="00EC666C"/>
    <w:rsid w:val="00EC7E64"/>
    <w:rsid w:val="00ED200C"/>
    <w:rsid w:val="00ED26F6"/>
    <w:rsid w:val="00ED4C2D"/>
    <w:rsid w:val="00ED69E2"/>
    <w:rsid w:val="00ED7CE1"/>
    <w:rsid w:val="00EE07DA"/>
    <w:rsid w:val="00EE1D9D"/>
    <w:rsid w:val="00EE25A6"/>
    <w:rsid w:val="00EE3D11"/>
    <w:rsid w:val="00EE48CD"/>
    <w:rsid w:val="00EE4C25"/>
    <w:rsid w:val="00EE5AA7"/>
    <w:rsid w:val="00EF1DF3"/>
    <w:rsid w:val="00EF4D9F"/>
    <w:rsid w:val="00EF528C"/>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17BBA"/>
    <w:rsid w:val="00F17FBB"/>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0D08"/>
    <w:rsid w:val="00F53022"/>
    <w:rsid w:val="00F56D73"/>
    <w:rsid w:val="00F60C23"/>
    <w:rsid w:val="00F61659"/>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0D2"/>
    <w:rsid w:val="00F7437C"/>
    <w:rsid w:val="00F7482D"/>
    <w:rsid w:val="00F74CBE"/>
    <w:rsid w:val="00F75204"/>
    <w:rsid w:val="00F76750"/>
    <w:rsid w:val="00F76A1C"/>
    <w:rsid w:val="00F76E0D"/>
    <w:rsid w:val="00F815BB"/>
    <w:rsid w:val="00F81E21"/>
    <w:rsid w:val="00F81F6D"/>
    <w:rsid w:val="00F82350"/>
    <w:rsid w:val="00F86365"/>
    <w:rsid w:val="00F87912"/>
    <w:rsid w:val="00F905B8"/>
    <w:rsid w:val="00F914BD"/>
    <w:rsid w:val="00F925E6"/>
    <w:rsid w:val="00F937F5"/>
    <w:rsid w:val="00F94A68"/>
    <w:rsid w:val="00F95F64"/>
    <w:rsid w:val="00F97896"/>
    <w:rsid w:val="00F97B58"/>
    <w:rsid w:val="00FA0847"/>
    <w:rsid w:val="00FA0AB6"/>
    <w:rsid w:val="00FA1266"/>
    <w:rsid w:val="00FA2149"/>
    <w:rsid w:val="00FA2821"/>
    <w:rsid w:val="00FA2CA9"/>
    <w:rsid w:val="00FA3B31"/>
    <w:rsid w:val="00FA51FA"/>
    <w:rsid w:val="00FA5E46"/>
    <w:rsid w:val="00FA62EC"/>
    <w:rsid w:val="00FA7DDE"/>
    <w:rsid w:val="00FB0410"/>
    <w:rsid w:val="00FB0828"/>
    <w:rsid w:val="00FB590E"/>
    <w:rsid w:val="00FC0032"/>
    <w:rsid w:val="00FC1192"/>
    <w:rsid w:val="00FC4455"/>
    <w:rsid w:val="00FC51B0"/>
    <w:rsid w:val="00FC663A"/>
    <w:rsid w:val="00FC781E"/>
    <w:rsid w:val="00FD0F3A"/>
    <w:rsid w:val="00FD4DA2"/>
    <w:rsid w:val="00FD54ED"/>
    <w:rsid w:val="00FD5986"/>
    <w:rsid w:val="00FD7A81"/>
    <w:rsid w:val="00FD7C04"/>
    <w:rsid w:val="00FE0A02"/>
    <w:rsid w:val="00FE0BF2"/>
    <w:rsid w:val="00FE0FFF"/>
    <w:rsid w:val="00FE1044"/>
    <w:rsid w:val="00FE160C"/>
    <w:rsid w:val="00FE24BC"/>
    <w:rsid w:val="00FE2805"/>
    <w:rsid w:val="00FE29C8"/>
    <w:rsid w:val="00FE3198"/>
    <w:rsid w:val="00FE3D50"/>
    <w:rsid w:val="00FE44D7"/>
    <w:rsid w:val="00FE628D"/>
    <w:rsid w:val="00FE7095"/>
    <w:rsid w:val="00FF1430"/>
    <w:rsid w:val="00FF426B"/>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372B1"/>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99"/>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B1Zchn">
    <w:name w:val="B1 Zchn"/>
    <w:qFormat/>
    <w:rsid w:val="00AE785A"/>
    <w:rPr>
      <w:rFonts w:eastAsia="Times New Roman"/>
    </w:rPr>
  </w:style>
  <w:style w:type="paragraph" w:customStyle="1" w:styleId="13">
    <w:name w:val="正文1"/>
    <w:rsid w:val="001F3D5A"/>
    <w:pPr>
      <w:jc w:val="both"/>
    </w:pPr>
    <w:rPr>
      <w:rFonts w:eastAsia="宋体"/>
      <w:kern w:val="2"/>
      <w:sz w:val="21"/>
      <w:szCs w:val="21"/>
    </w:rPr>
  </w:style>
  <w:style w:type="paragraph" w:customStyle="1" w:styleId="21">
    <w:name w:val="正文2"/>
    <w:rsid w:val="00924D2C"/>
    <w:pPr>
      <w:jc w:val="both"/>
    </w:pPr>
    <w:rPr>
      <w:rFonts w:ascii="Calibri" w:eastAsia="宋体"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039684">
      <w:bodyDiv w:val="1"/>
      <w:marLeft w:val="0"/>
      <w:marRight w:val="0"/>
      <w:marTop w:val="0"/>
      <w:marBottom w:val="0"/>
      <w:divBdr>
        <w:top w:val="none" w:sz="0" w:space="0" w:color="auto"/>
        <w:left w:val="none" w:sz="0" w:space="0" w:color="auto"/>
        <w:bottom w:val="none" w:sz="0" w:space="0" w:color="auto"/>
        <w:right w:val="none" w:sz="0" w:space="0" w:color="auto"/>
      </w:divBdr>
    </w:div>
    <w:div w:id="163085825">
      <w:bodyDiv w:val="1"/>
      <w:marLeft w:val="0"/>
      <w:marRight w:val="0"/>
      <w:marTop w:val="0"/>
      <w:marBottom w:val="0"/>
      <w:divBdr>
        <w:top w:val="none" w:sz="0" w:space="0" w:color="auto"/>
        <w:left w:val="none" w:sz="0" w:space="0" w:color="auto"/>
        <w:bottom w:val="none" w:sz="0" w:space="0" w:color="auto"/>
        <w:right w:val="none" w:sz="0" w:space="0" w:color="auto"/>
      </w:divBdr>
    </w:div>
    <w:div w:id="272127306">
      <w:bodyDiv w:val="1"/>
      <w:marLeft w:val="0"/>
      <w:marRight w:val="0"/>
      <w:marTop w:val="0"/>
      <w:marBottom w:val="0"/>
      <w:divBdr>
        <w:top w:val="none" w:sz="0" w:space="0" w:color="auto"/>
        <w:left w:val="none" w:sz="0" w:space="0" w:color="auto"/>
        <w:bottom w:val="none" w:sz="0" w:space="0" w:color="auto"/>
        <w:right w:val="none" w:sz="0" w:space="0" w:color="auto"/>
      </w:divBdr>
    </w:div>
    <w:div w:id="565798939">
      <w:bodyDiv w:val="1"/>
      <w:marLeft w:val="0"/>
      <w:marRight w:val="0"/>
      <w:marTop w:val="0"/>
      <w:marBottom w:val="0"/>
      <w:divBdr>
        <w:top w:val="none" w:sz="0" w:space="0" w:color="auto"/>
        <w:left w:val="none" w:sz="0" w:space="0" w:color="auto"/>
        <w:bottom w:val="none" w:sz="0" w:space="0" w:color="auto"/>
        <w:right w:val="none" w:sz="0" w:space="0" w:color="auto"/>
      </w:divBdr>
    </w:div>
    <w:div w:id="778523641">
      <w:bodyDiv w:val="1"/>
      <w:marLeft w:val="0"/>
      <w:marRight w:val="0"/>
      <w:marTop w:val="0"/>
      <w:marBottom w:val="0"/>
      <w:divBdr>
        <w:top w:val="none" w:sz="0" w:space="0" w:color="auto"/>
        <w:left w:val="none" w:sz="0" w:space="0" w:color="auto"/>
        <w:bottom w:val="none" w:sz="0" w:space="0" w:color="auto"/>
        <w:right w:val="none" w:sz="0" w:space="0" w:color="auto"/>
      </w:divBdr>
    </w:div>
    <w:div w:id="835851466">
      <w:bodyDiv w:val="1"/>
      <w:marLeft w:val="0"/>
      <w:marRight w:val="0"/>
      <w:marTop w:val="0"/>
      <w:marBottom w:val="0"/>
      <w:divBdr>
        <w:top w:val="none" w:sz="0" w:space="0" w:color="auto"/>
        <w:left w:val="none" w:sz="0" w:space="0" w:color="auto"/>
        <w:bottom w:val="none" w:sz="0" w:space="0" w:color="auto"/>
        <w:right w:val="none" w:sz="0" w:space="0" w:color="auto"/>
      </w:divBdr>
    </w:div>
    <w:div w:id="893856791">
      <w:bodyDiv w:val="1"/>
      <w:marLeft w:val="0"/>
      <w:marRight w:val="0"/>
      <w:marTop w:val="0"/>
      <w:marBottom w:val="0"/>
      <w:divBdr>
        <w:top w:val="none" w:sz="0" w:space="0" w:color="auto"/>
        <w:left w:val="none" w:sz="0" w:space="0" w:color="auto"/>
        <w:bottom w:val="none" w:sz="0" w:space="0" w:color="auto"/>
        <w:right w:val="none" w:sz="0" w:space="0" w:color="auto"/>
      </w:divBdr>
    </w:div>
    <w:div w:id="1133673347">
      <w:bodyDiv w:val="1"/>
      <w:marLeft w:val="0"/>
      <w:marRight w:val="0"/>
      <w:marTop w:val="0"/>
      <w:marBottom w:val="0"/>
      <w:divBdr>
        <w:top w:val="none" w:sz="0" w:space="0" w:color="auto"/>
        <w:left w:val="none" w:sz="0" w:space="0" w:color="auto"/>
        <w:bottom w:val="none" w:sz="0" w:space="0" w:color="auto"/>
        <w:right w:val="none" w:sz="0" w:space="0" w:color="auto"/>
      </w:divBdr>
    </w:div>
    <w:div w:id="1619799441">
      <w:bodyDiv w:val="1"/>
      <w:marLeft w:val="0"/>
      <w:marRight w:val="0"/>
      <w:marTop w:val="0"/>
      <w:marBottom w:val="0"/>
      <w:divBdr>
        <w:top w:val="none" w:sz="0" w:space="0" w:color="auto"/>
        <w:left w:val="none" w:sz="0" w:space="0" w:color="auto"/>
        <w:bottom w:val="none" w:sz="0" w:space="0" w:color="auto"/>
        <w:right w:val="none" w:sz="0" w:space="0" w:color="auto"/>
      </w:divBdr>
    </w:div>
    <w:div w:id="20144078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75320-A120-4C07-B1D7-1551679C4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4137</TotalTime>
  <Pages>3</Pages>
  <Words>1132</Words>
  <Characters>6455</Characters>
  <Application>Microsoft Office Word</Application>
  <DocSecurity>0</DocSecurity>
  <Lines>53</Lines>
  <Paragraphs>15</Paragraphs>
  <ScaleCrop>false</ScaleCrop>
  <Company>China Telecom</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590</cp:revision>
  <cp:lastPrinted>2019-02-25T14:05:00Z</cp:lastPrinted>
  <dcterms:created xsi:type="dcterms:W3CDTF">2020-08-07T03:29:00Z</dcterms:created>
  <dcterms:modified xsi:type="dcterms:W3CDTF">2025-03-28T06:42:00Z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